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https://www.autoritedelaconcurrence.fr/fr/decision-de-controle-des-concentrations/relative-la-prise-de-controle-conjoint-dactifs-de-la</w:t>
      </w:r>
    </w:p>
    <w:p>
      <w:r>
        <w:t>Pages translated : 7</w:t>
      </w:r>
    </w:p>
    <w:p/>
    <w:p>
      <w:r>
        <w:rPr>
          <w:b/>
        </w:rPr>
        <w:t>[Pages 1–3]</w:t>
      </w:r>
    </w:p>
    <w:p>
      <w:r>
        <w:t xml:space="preserve">FRENCH REPUBLIC  </w:t>
        <w:br/>
        <w:t xml:space="preserve">Decision No. 16-DCC-95 of June 29, 2016  </w:t>
        <w:br/>
        <w:t>regarding the joint control of assets of the Sainte Marie Hospital Foundation by MGEN and Harmonie Mutuelle</w:t>
      </w:r>
    </w:p>
    <w:p>
      <w:r>
        <w:t xml:space="preserve">The Competition Authority,  </w:t>
        <w:br/>
        <w:t xml:space="preserve">Having regard to the notification file submitted in full to the concentrations service on May 26, 2016, regarding the joint control of assets of the Sainte Marie Hospital Foundation by MGEN and Harmonie Mutuelle, formalized by a memorandum of understanding dated April 8, 2016, as well as by a partial contribution agreement dated April 29,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Harmonie Mutuelle, a mutual governed by the provisions of Book II of the Code of Mutuality, results from the merger by absorption of six mutuals in 2012. Harmonie Mutuelle is primarily active in the field of coverage for risks related to accidents, illness, and death. It also offers funeral services. It controls Harmonie Services Mutualistes (hereinafter "HSM"), a mutual governed by Book III of the Code of Mutuality. Furthermore, Harmonie Mutuelle is a member of the mutualist union of the group Groupe Harmonie alongside several mutuals (Harmonie Fonction publique, mutual Mare-Gaillard, and La France Mutualiste) over which it exercises exclusive control.  </w:t>
        <w:br/>
        <w:t xml:space="preserve">1 See the decision of the Competition Authority No. 12 DCC-111 of August 3, 2012, regarding the merger by absorption of the mutuals Harmonie Mutualité, Mutuelle Existence, Prévadiès, Santévie, Santévie MP, and Spheria Val-de-France by Harmonie Mutuelle.  </w:t>
        <w:br/>
        <w:t>2 See the decisions of the Competition Authority No. 13-DCC-73 of June 26, 2013, regarding the establishment by the mutuals Harmonie Mutuelle, Mutuelle Nationale de l’Aviation Marine, Mutuelle SMAR, Mutuelle de Mare Gaillard, and La France Mutualiste of a mutualist union of the group "Groupe Harmonie" exclusively controlled by Harmonie Mutuelle and No. 15-DCC-109 of August 10, 2015, regarding the creation of a fully operational joint venture SAFM by MGEN and Harmonie Mutuelle.</w:t>
      </w:r>
    </w:p>
    <w:p>
      <w:r>
        <w:t xml:space="preserve">2. The Mutuelle Générale de l’Éducation Nationale (hereinafter, "MGEN"), governed by the provisions of Book II of the Code of Mutuality, primarily offers benefits related to illness, accident, and surety. It is a member of the MGEN group, a mutualist group governed by the Code of Mutuality, which primarily serves professionals in national education, higher education, research, culture and communication, youth and sports, in the fields of supplementary health insurance, provident insurance, borrower insurance, funeral insurance, and retirement savings insurance. The MGEN group is composed of a mutual union, MGEN Union, and five mutuals, three governed by Book II, MGEN, MGEN Vie, Mgen Filia, and two governed by Book III, MGEN Action Sanitaire et Sociale and MGEN Centres de Santé. MGEN, as well as the mutuals MNT, MGET, MAEE, MCDEF, and MGEFI, are members of the mutualist union of the group Istya, over which MGEN exercises exclusive control.  </w:t>
        <w:br/>
        <w:t xml:space="preserve">3. The Sainte Marie Hospital Foundation (hereinafter "FhSM"), recognized as a public utility by decree dated October 28, 2005, carries out its activities in the health and medico-social fields around six areas of expertise (childhood and youth, disability, hospital establishments, seniors, home care, education and training), primarily in Île-de-France. FhSM also manages care and social and medico-social support services under management mandates from three associations in the Île-de-France region. These activities, including those under management mandates, but excluding the establishments of the Robert Doisneau Center, constitute the assets (hereinafter, "the assets of FhSM") subject to this notification.  </w:t>
        <w:br/>
        <w:t xml:space="preserve">4. By a memorandum of understanding dated April 8, 2016, and a partial contribution agreement dated April 29, 2016, the assets of FhSM will be transferred to the Union Soins et Services Île-de-France (hereinafter, "USS IDF"), which has committed to continuing the concerned activities.  </w:t>
        <w:br/>
        <w:t xml:space="preserve">5. The members of the USS IDF are the Union Harmonie Services Mutualistes, Harmonie Mutuelle, MGEN, MGEFI, and MNT. [confidential] are divided into three colleges composed of representatives of the mutuals that are members of the union. Following the operation, Harmonie and MGEN will have [confidential] and [confidential] delegates respectively within the general assembly of the USS IDF. Decisions in the general assembly, particularly those relating to contributions and services offered, are made by a two-thirds majority. Consequently, Harmonie and MGEN will jointly exercise a decisive influence over the USS IDF.  </w:t>
        <w:br/>
        <w:t xml:space="preserve">6. As it results in the joint control of the assets of FhSM by MGEN and Harmonie Mutuelle, the notified operation constitutes a concentration within the meaning of Article L. 430-1 of the Commercial Code.  </w:t>
        <w:br/>
        <w:t xml:space="preserve">3 MGEN also controls these mutuals MGEN Action Sanitaire et Sociale and MGEN Centres de Santé, governed by Book III.  </w:t>
        <w:br/>
        <w:t xml:space="preserve">4 Respectively, Mutuelle Nationale Territoriale, Mutuelle Générale Environnement et Territoires, Mutuelle des Affaires Étrangères et Européennes, Mutuelle Civile de la Défense, and Mutuelle Générale de l’Économie, des Finances et de l’Industrie.  </w:t>
        <w:br/>
        <w:t xml:space="preserve">5 See the decisions of the Competition Authority No. 11-DCC-12 of February 1, 2011, regarding the creation of a Mutualist Union of the Group by the groups MGEN, MNH, MNT, MGET, and MAEE, No. 11-DCC-186 of December 14, 2011, regarding the affiliation of the Mutual Civil Defense to the mutualist union of the group Istya, No. 12-DCC-181 of December 27, 2015, regarding the affiliation of the General Mutual of Economy, Finance, and Industry (MGEFI) to the mutualist union of the group Istya, as well as No. 15-DCC-109 mentioned above.  </w:t>
        <w:br/>
        <w:t>6 The scope of the transferred assets includes 2 hospital establishments, Centre Paris Est in Noisy-le-Sec (93) and Centre Paris Sud in Paris (75), 12 home care establishments (SAD 92 Colombes, 75, 77, 93), 2 specialized Alzheimer team services (75 and 93), 6 home nursing services (Day 75, Day 92, Day 93, Night 75, Night 92, and Night 93), 2 training and education establishments (2 nursing schools and a training institute in Paris), 3 establishments for children and youth (Early Medical-Social Action Center, Maternal and Child Protection, and Parenting Support Service for Disabled Persons in Paris), and 3 establishments for seniors (Day Reception les Rives in Bobigny, Support and Respite Platform in Prè-Saint-Gervais, and 2 EHPADs, Sainte Antoine in Noisy-le-Sec and Sainte Marthe in Bobigny). The management agreements with the associations ADEP, ASSAD 92, and ALGESEM are also transferred to the USS IDF as part of the notified operation.</w:t>
      </w:r>
    </w:p>
    <w:p>
      <w:r>
        <w:t>7. The companies concerned together achieve a total worldwide turnover excluding tax of more than 150 million euros (MGEN: [...] euros for the fiscal year ending December 31, 2015; Harmonie Mutuelle group: [...] euros for the same fiscal year; FhSM: [...] euros for the same fiscal year). At least two of these companies achieve a turnover in France exceeding 50 million euros (MGEN: [...] euros for the fiscal year ending December 31, 2015; Harmonie Mutuelle group: [...] euros for the same fiscal year; FhSM: [...] euros for the same fiscal year). Given these turnovers,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8. The parties to the operation are simultaneously active in the sectors of long-term accommodation for the elderly and post-acute care and rehabilitation centers (hereinafter, "SSR"). They also offer home health care services. However, this area of activity does not present any overlap either in terms of activity or geographically. Furthermore, the markets for private higher education and vocational training are concerned by the operation.</w:t>
      </w:r>
    </w:p>
    <w:p>
      <w:r>
        <w:t xml:space="preserve">A. THE LONG-TERM ACCOMMODATION SECTOR FOR THE ELDERLY  </w:t>
        <w:br/>
        <w:t xml:space="preserve">1. MARKET FOR SERVICES  </w:t>
        <w:br/>
        <w:t xml:space="preserve">9. Decision-making practice considers that the market for accommodation for the elderly includes (i) nursing homes or accommodation establishments for dependent elderly persons (hereinafter, "EHPAD"), (ii) housing-foyers or service residences that are groups of permanent autonomous housing, in rooms or apartments, which offer optional collective equipment and services, with elderly persons being owners or tenants of their housing, and (iii) long-term care units ("USLD") which are medicalized structures intended for the permanent care of very dependent persons. Decision-making practice has deemed it inappropriate to further segment this market based on the legal status of the establishment or according to financial participation. The question of a distinct market for USLDs has been examined but left open.  </w:t>
        <w:br/>
        <w:t xml:space="preserve">10. In this case, FhSM owns three EHPADs and operates one EHPAD under a management mandate, MGEN owns two, and only FhSM owns a USLD. The market for EHPADs is therefore the only one concerned by the operation, and its exact delimitation will be left open, with the conclusions of the competitive analysis remaining unchanged regardless of the segmentation retained.  </w:t>
        <w:br/>
        <w:t>7 See the decisions of the Competition Authority No. 14-DCC-132 of September 15, 2014, regarding the exclusive control of the company Colisée by the Eurazeo group, No. 14-DCC-22 of February 21, 2014, regarding the merger-absorption of the company Médica by the company Korian, No. 10-DCC-179 of December 13, 2010, regarding the exclusive control of the Méditer and Mieux-Vivre group by the company Orpéa, and No. 10-DCC-132 of October 11, 2010, regarding the creation of two joint ventures by Domus Vi and GDP Vendôme.</w:t>
      </w:r>
    </w:p>
    <w:p>
      <w:r>
        <w:rPr>
          <w:b/>
        </w:rPr>
        <w:t>[Pages 4–6]</w:t>
      </w:r>
    </w:p>
    <w:p>
      <w:r>
        <w:t>2. GEOGRAPHIC MARKET</w:t>
      </w:r>
    </w:p>
    <w:p>
      <w:r>
        <w:t>11. Regarding the geographic delimitation of the market for elderly care accommodation, decision-making practice has identified a market of departmental dimension for the entire territory outside the Paris region, with the criterion for choosing the establishment being its proximity to the elderly person's home or the family referent. Concerning the Paris region, consideration of the entire region has been envisaged.</w:t>
      </w:r>
    </w:p>
    <w:p>
      <w:r>
        <w:t>12. In this case, the EHPADs of the parties are mainly located in the Île-de-France region: those of FhSM are located in the departments of Paris (75), Seine-Saint-Denis (93), and Yonne (89), and those of MGEN in Yvelines (78) and Val d'Oise (95). The question of the exact delimitation of the geographic market can, however, be left open, as the conclusions of the competitive analysis remain unchanged regardless of the delimitation retained.</w:t>
      </w:r>
    </w:p>
    <w:p>
      <w:r>
        <w:t>B. THE MARKET FOR FOLLOW-UP AND REHABILITATION CENTERS</w:t>
      </w:r>
    </w:p>
    <w:p>
      <w:r>
        <w:t>1. SERVICE MARKET</w:t>
      </w:r>
    </w:p>
    <w:p>
      <w:r>
        <w:t>13. The market for SSR centers corresponds to a market for temporary accommodation of dependent persons, particularly after surgical intervention. Consequently, these centers offer a wide range of care, such as post-operative functional rehabilitation, convalescence, and treatment of long-term or chronic conditions. It is therefore conceivable to question the possibility of a finer segmentation of SSR centers based on care specialties.</w:t>
      </w:r>
    </w:p>
    <w:p>
      <w:r>
        <w:t>14. In this case, FhSM and MGEN each own two SSR centers. However, the question of the exact delimitation of the markets will be left open, as the conclusions of the competitive analysis remain unchanged regardless of the hypothesis considered.</w:t>
      </w:r>
    </w:p>
    <w:p>
      <w:r>
        <w:t>2. GEOGRAPHIC MARKET</w:t>
      </w:r>
    </w:p>
    <w:p>
      <w:r>
        <w:t>15. Decision-making practice, while leaving the question open, has considered an analysis of the SSR market at the regional level, as SSR centers are placed under the supervision of the Regional Health Agencies (hereinafter, "ARS") which plan their reception capacities.</w:t>
      </w:r>
    </w:p>
    <w:p>
      <w:r>
        <w:t>16. In this case, the SSRs of the parties are located in the Île-de-France region, those of FhSM in the departments of Paris (75) and Seine-Saint-Denis (93), and those of MGEN in Yvelines (78). The activities of the parties involved in the operation do not present any overlap in terms of specialties.</w:t>
      </w:r>
    </w:p>
    <w:p>
      <w:r>
        <w:t>17. The question of the exact delimitation of the SSR center market can be left open, as the conclusions of the competitive analysis remain unchanged regardless of the delimitations retained.</w:t>
      </w:r>
    </w:p>
    <w:p>
      <w:r>
        <w:t>C. THE SERVICE MARKETS OF THE PRIVATE HIGHER EDUCATION SECTOR AND VOCATIONAL TRAINING</w:t>
      </w:r>
    </w:p>
    <w:p>
      <w:r>
        <w:t>1. SERVICE MARKET</w:t>
      </w:r>
    </w:p>
    <w:p>
      <w:r>
        <w:t>18. FhSM owns a nursery school in which it offers training for childcare assistants and pediatric nurses. MGEN offers a state diploma for nursing at the bachelor's level in the same institute.</w:t>
      </w:r>
    </w:p>
    <w:p>
      <w:r>
        <w:t>19. European decision-making practice has distinguished training followed by adults for professional purposes from that provided to younger audiences in an educational setting, notably invoking differences in age and expectations of trainees and the resulting differences in terms of presentation of teachings. Thus, an initial market segmentation can be envisaged between initial or alternating training on the one hand, and continuing vocational training on the other. A segmentation of the continuing vocational training market has been considered by area of intervention, encompassing both private and public providers.</w:t>
      </w:r>
    </w:p>
    <w:p>
      <w:r>
        <w:t>20. In this case, the parties involved in the operation are simultaneously active in the market for initial or alternating training as well as in the market for continuing vocational training.</w:t>
      </w:r>
    </w:p>
    <w:p>
      <w:r>
        <w:t>21. Regarding initial or alternating training, decision-making practice has considered several segmentations according to the nature of the training cycle (full-time initial training and alternating training), the field of training, the duration of the study cycle, and finally, between public education and private higher education. Regarding segmentation between public and private education, decision-making practice has retained a criterion related to the level of tuition fees.</w:t>
      </w:r>
    </w:p>
    <w:p>
      <w:r>
        <w:t>22. Regarding continuing vocational training, national decision-making practice has considered, while leaving the question open, delimiting the market for vocational training according to sectors of intervention, taking into account the specificities of organization and financing in the sector.</w:t>
      </w:r>
    </w:p>
    <w:p>
      <w:r>
        <w:t>23. The question of the exact delimitation of the markets for private higher education and vocational training will, however, be left open, as the conclusions of the competitive analysis remain unchanged regardless of the delimitations retained.</w:t>
      </w:r>
    </w:p>
    <w:p>
      <w:r>
        <w:t>2. GEOGRAPHIC MARKETS</w:t>
      </w:r>
    </w:p>
    <w:p>
      <w:r>
        <w:t>24. Regarding initial or alternating training, decision-making practice has considered the delimitation of these markets at the national level but also at an infranational level, in order to take into account the geographic origin of students. It has also indicated that while a national delimitation may be retained for the highly selective segments of the higher education market (grande écoles, etc.), the situation appears different for other market segments. In this case, the analysis will be conducted at the national level and in the Île-de-France region, as the parties involved in the operation offer their training in the Île-de-France region.</w:t>
      </w:r>
    </w:p>
    <w:p>
      <w:r>
        <w:t>25. In terms of continuing vocational training, decision-making practice has retained that the main operators of vocational training being national, a national delimitation of the vocational training market should be considered, while leaving the question open. A more restricted geographic delimitation has also been considered in order to take into account the demand from certain employment areas and certain small and medium-sized enterprises. In this case, the parties involved in the operation offer their continuing vocational training in the Île-de-France region.</w:t>
      </w:r>
    </w:p>
    <w:p>
      <w:r>
        <w:t>26. The question of the geographic delimitation of these markets will, however, be left open, as the conclusions of the competitive analysis remain unchanged regardless of the delimitations retained.</w:t>
      </w:r>
    </w:p>
    <w:p>
      <w:r>
        <w:t>III. Competitive Analysis</w:t>
      </w:r>
    </w:p>
    <w:p>
      <w:r>
        <w:t>27. Across all the relevant markets, the position of the new entity will remain below 3% regardless of the segmentation considered. The operation is therefore not likely to harm competition in these markets.</w:t>
      </w:r>
    </w:p>
    <w:p>
      <w:r>
        <w:rPr>
          <w:b/>
        </w:rPr>
        <w:t>[Pages 7–7]</w:t>
      </w:r>
    </w:p>
    <w:p>
      <w:r>
        <w:t xml:space="preserve">DECIDES  </w:t>
        <w:br/>
        <w:t xml:space="preserve">Sole Article: The operation notified under number 16-075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