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https://www.autoritedelaconcurrence.fr/fr/decision-de-controle-des-concentrations/relative-la-prise-de-controle-conjoint-dactifs-immobiliers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18-DCC-140 of August 16, 2018  </w:t>
        <w:br/>
        <w:t xml:space="preserve">regarding the joint control acquisition of real estate assets by the  </w:t>
        <w:br/>
        <w:t xml:space="preserve">companies Bouygues Immobilier and Tikehau Capital  </w:t>
        <w:br/>
        <w:t xml:space="preserve">The Competition Authority,  </w:t>
        <w:br/>
        <w:t xml:space="preserve">Having regard to the complete notification file submitted to the mergers department on July 24, 2018,  </w:t>
        <w:br/>
        <w:t xml:space="preserve">concerning the joint control acquisition of real estate assets by the companies Bouygues Immobilier  </w:t>
        <w:br/>
        <w:t xml:space="preserve">and Tikehau Capital, formalized by a synallagmatic promise of sale dated  </w:t>
        <w:br/>
        <w:t xml:space="preserve">June 6,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Bouygues  </w:t>
        <w:br/>
        <w:t xml:space="preserve">Immobilier and Tikehau Capital of a set of real estate assets located at rue du Nouveau Bercy in  </w:t>
        <w:br/>
        <w:t xml:space="preserve">Charenton-le-Pont (94). It constitutes a concentration within the meaning of Article L. 430-1 of the  </w:t>
        <w:br/>
        <w:t xml:space="preserve">Commercial Code. Given the turnover generated by the companies involved,  </w:t>
        <w:br/>
        <w:t xml:space="preserve">the operation does not fall under the jurisdiction of the European Union. On the other hand, the thresholds for  </w:t>
        <w:br/>
        <w:t xml:space="preserve">control mentioned in 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The markets concerned by the operation are those of real estate services, which are consistently defined  </w:t>
        <w:br/>
        <w:t xml:space="preserve">by the decision-making practice of the Competition Authority.  </w:t>
        <w:br/>
        <w:t xml:space="preserve">3. Regardless of the segmentations retained, the combined market shares of the parties are  </w:t>
        <w:br/>
        <w:t xml:space="preserve">below 10%.  </w:t>
        <w:br/>
        <w:t xml:space="preserve">4. Given the elements of the file and in particular in view of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18-159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