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https://www.autoritedelaconcurrence.fr/fr/decision-de-controle-des-concentrations/relative-la-prise-de-controle-conjoint-de-anjac-csi-sa-par</w:t>
      </w:r>
    </w:p>
    <w:p>
      <w:r>
        <w:t>Pages translated : 8</w:t>
      </w:r>
    </w:p>
    <w:p/>
    <w:p>
      <w:r>
        <w:rPr>
          <w:b/>
        </w:rPr>
        <w:t>[Pages 1–3]</w:t>
      </w:r>
    </w:p>
    <w:p>
      <w:r>
        <w:t xml:space="preserve">FRENCH REPUBLIC  </w:t>
        <w:br/>
        <w:t xml:space="preserve">Decision No. 15-DCC-145 of October 27, 2015  </w:t>
        <w:br/>
        <w:t xml:space="preserve">regarding the joint control of Anjac CSI SA  </w:t>
        <w:br/>
        <w:t>by Tereva SAS alongside Anjac SA</w:t>
      </w:r>
    </w:p>
    <w:p>
      <w:r>
        <w:t xml:space="preserve">The Competition Authority,  </w:t>
        <w:br/>
        <w:t xml:space="preserve">Having regard to the notification file submitted in full to the merger service on September 25, 2015, regarding the joint control of Anjac CSI by Tereva SAS alongside Anjac SA, formalized by an irrevocable acquisition offer and a share transfer agreement with immediate and deferred effect dated July 9, 2015, as well as a shareholders' agreement;  </w:t>
        <w:br/>
        <w:t xml:space="preserve">Having regard to Book IV of the Commercial Code relating to price freedom and competition,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Tereva SAS is a simplified joint-stock company, wholly owned by Martin Belaysoud Expansion SA (hereinafter, "the MBE Group"), which is itself held at [...]% by the family civil company Martin ("SCFM"). The MBE Group consists of six French subsidiaries active in the technical professional distribution sector, including Tereva, which specializes in the distribution to professionals of sanitary, heating, and air conditioning products (hereinafter referred to as "SACHA products"). In October 2014, Tereva acquired SAS Comptoir Charentais du Chauffage. Tereva and Comptoir Charentais du Chauffage are present in France through a network of 102 agencies.  </w:t>
        <w:br/>
        <w:t xml:space="preserve">2. Anjac CSI is a company specialized in the distribution to professionals of SACHA products. Anjac CSI is held at [...]% by Anjac SA and at [...]% by six members of the [X] and [Y] families (hereinafter the "historical shareholders"). The remaining share ([...]%) is held by nine other individuals (hereinafter the "operational managers"). Anjac CSI conducts its business, directly and through subsidiaries, through a network of 46 agencies in France. Anjac SA, which currently controls Anjac CSI, is the parent company of the Anjac group, held directly and indirectly by members of the Chaufour family. In addition to distributing SACHA products, the Anjac group is active in the hygiene, beauty, and parapharmacy sector.  </w:t>
        <w:br/>
        <w:t xml:space="preserve">3. The operation, formalized by a share transfer agreement signed on July 9, 2015, is a two-step operation.  </w:t>
        <w:br/>
        <w:t xml:space="preserve">- In the first step, Tereva will acquire [...]% of Anjac CSI's shares from Anjac SA ([...]%) and the historical shareholders ([...]%). Upon completion of this first transfer, which will take place before November 30, 2015, the capital of Anjac CSI will be distributed among Tereva ([...]%), Anjac SA ([...]%), and the operational managers ([...]%). A shareholders' agreement concluded between Tereva SAS and Anjac SA aims to organize the relations of the two shareholders within Anjac CSI from the completion of the first transfer. Under this agreement, Tereva will be able to exert a decisive influence on Anjac CSI to the extent that its prior approval will now be essential for making important strategic decisions such as the approval of the annual budget, any financial commitment of Anjac CSI for a cumulative annual amount exceeding 500,000 euros, and any decision of the majority shareholder that negatively impacts the operational profitability of Anjac CSI after the completion of the second transfer. Following the first transfer, Anjac CSI will therefore be jointly controlled by Tereva SAS and Anjac SA;  </w:t>
        <w:br/>
        <w:t xml:space="preserve">- In the second step, the transfer agreement and the shareholders' agreement stipulate that Tereva will acquire the remaining capital of Anjac CSI, i.e., [...]%, no later than July 31, 2019 (hereinafter "second transfer") and will thus take exclusive control of Anjac CSI.  </w:t>
        <w:br/>
        <w:t xml:space="preserve">4. A concentration operation is deemed to be realized only if it results in a lasting change in the control of the concerned company. Therefore, similar to the consolidated jurisdictional communication of the European Commission, "the question of to what extent an operation leads to a lasting change in the market structure must also be taken into account to assess a series of operations of which the first is only of a transitional nature."1 By reference to the consolidated communication, the Competition Authority indicates in its guidelines that it "retains two conditions to assess whether a transitional operation constitutes a lasting change in control. On the one hand, the transitional nature of the operation must be agreed upon among the various acquirers in a legally binding manner, and, on the other hand, there must be no doubt about the promptness of the second step."2 The European Commission adds that "when these conditions are not met, particularly if there is doubt about the promptness of the second step after the first acquisition, the Commission considers the first operation as a distinct concentration."3  </w:t>
        <w:br/>
        <w:t xml:space="preserve">5. In this regard, the consolidated communication specifically mentions the scenario of an operation leading to joint control during a start-up period but converted, under legally binding agreements, into exclusive control exercised by one of the shareholders. The European Commission considers that "given that joint control may not constitute a lasting change in control, the entire operation may be regarded as an acquisition of exclusive control. In the past, the Commission has acknowledged that these start-up periods could extend up to three years. Such a period seems too long to exclude an influence of joint control on the market structure. Therefore, the period in question should generally not exceed one year, and the period of joint control should only be of a transitional nature. Only such a relatively short time frame will ensure that the period of joint control cannot, in all likelihood, have a particular impact on the market structure and can therefore be considered as not leading to a lasting change in control."4  </w:t>
        <w:br/>
        <w:t xml:space="preserve">6. In this case, if the transitional nature of the operation is agreed upon by the parties in a legally binding manner, it should be noted that the implementation of the second step can only be established with certainty by July 31, 2019, in accordance with the contractual stipulations. It follows from the above that Tereva's exercise of a decisive influence over Anjac CSI for a duration significantly exceeding 3 years before exclusive control cannot be considered, in terms of merger control, as purely transitional but constitutes a lasting change in the control of Anjac CSI, due to the lack of promptness in implementing the envisaged second step.  </w:t>
        <w:br/>
        <w:t xml:space="preserve">7. As it results in the joint control of Tereva over Anjac CSI, alongside Anjac SA, the notified operation constitutes a concentration operation within the meaning of Article L. 430-1 of the Commercial Code.  </w:t>
        <w:br/>
        <w:t>8. The concerned companies together generate a total worldwide turnover excluding tax of more than 150 million euros (MBE: [...] euros for the fiscal year ending December 31, 2014; Anjac SA: 266.2 million euros for the same fiscal year). Each of these companies has generated a turnover in France exceeding 50 million euros (MBE: [...] euros for the fiscal year ending December 31, 2014; Anjac SA: 248.9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9. The parties are simultaneously active in the markets for SACHA products. In these markets, the parties are present both upstream, as buyers of materials from manufacturers, and downstream in the specialized trading market.  </w:t>
        <w:br/>
        <w:t>10. Tereva and Anjac CSI are also present, in a very marginal way, in the markets for the trading of electrical products and the trading of tiling products, which are sold as complements to plumbers and heating professionals who primarily source SACHA products. The decision-making practice considers that the specialized trading of sanitary and heating products5, the specialized trading of electrical products6, and the trading of tiling products are distinct markets.</w:t>
      </w:r>
    </w:p>
    <w:p>
      <w:r>
        <w:rPr>
          <w:b/>
        </w:rPr>
        <w:t>[Pages 4–6]</w:t>
      </w:r>
    </w:p>
    <w:p>
      <w:r>
        <w:t>specialized in tiling7 constitute distinct markets. Tereva and Anjac CSI are therefore not present in the downstream markets of specialized trading of electrical products and tiling. In any case, in these downstream markets, the operation does not lead locally to any overlap of activity, as almost all of Tereva's tiling sales are made in an agency located in a region where Anjac CSI is not established. Finally, in the upstream markets of the supply of electrical products and tiling, the combined market shares of the parties are insignificant. Therefore, these markets will not be subject to a more detailed competitive analysis.</w:t>
      </w:r>
    </w:p>
    <w:p>
      <w:r>
        <w:t>A. THE UPSTREAM MARKET OF SUPPLY IN SACHA PRODUCTS</w:t>
      </w:r>
    </w:p>
    <w:p>
      <w:r>
        <w:t>11. As a preliminary point, it should be noted that neither Tereva nor Anjac manufactures the products falling within the SACHA product ranges. For these products, the Tereva and Anjac groups are therefore present upstream only as buyers from manufacturers.</w:t>
      </w:r>
    </w:p>
    <w:p>
      <w:r>
        <w:t>12. Consistently, the national decision-making practice8 distinguishes as many markets as there are families of products in the construction materials sector. The structure of supply, pricing dynamics, or manufacturing constraints can indeed vary significantly from one product family to another. Four product families have been distinguished: (i) sanitary products, (ii) heating products, (iii) air conditioning products, and (iv) plumbing products, with suppliers generally active only in one or two of these families9.</w:t>
      </w:r>
    </w:p>
    <w:p>
      <w:r>
        <w:t>13. Regarding SACHA products, the European Commission has considered a global market for the supply of sanitary, heating, and plumbing products10.</w:t>
      </w:r>
    </w:p>
    <w:p>
      <w:r>
        <w:t>14. In this case, since the conclusions of the competitive analysis will remain unchanged regardless of the assumption made, the question of the precise delimitation of the upstream markets for the supply of SACHA products can remain open.</w:t>
      </w:r>
    </w:p>
    <w:p>
      <w:r>
        <w:t>15. As for the geographical market, the decision-making practice considers that the markets for the supply of SACHA products are at least national in scope.</w:t>
      </w:r>
    </w:p>
    <w:p>
      <w:r>
        <w:t>B. THE DOWNSTREAM MARKET OF SPECIALIZED TRADING IN SACHA PRODUCTS</w:t>
      </w:r>
    </w:p>
    <w:p>
      <w:r>
        <w:t>1. DELIMITATION BY PRODUCTS</w:t>
      </w:r>
    </w:p>
    <w:p>
      <w:r>
        <w:t>16. Within the market for construction materials trading, the Authority has identified a distinct market for specialized trading in SACHA products aimed at professionals11.</w:t>
      </w:r>
    </w:p>
    <w:p>
      <w:r>
        <w:t>17. The decision-making practice has indeed established a distinction between "generalist" traders and "specialists" in that the depth of ranges of materials distributed differs between these two distribution channels12. The offer of "generalist" traders covers a complete assortment of product ranges and targets all downstream players in the construction sector. "Specialized" traders, whose offer is focused on a family of products, provide deeper ranges and more advanced expertise on specific product lines.</w:t>
      </w:r>
    </w:p>
    <w:p>
      <w:r>
        <w:t>18. Furthermore, regarding the trading of SACHA products, it is intended to meet the specific needs of a particular category of customers, namely plumbers and heating engineers13. They generally source from these specialized points of sale, the largest of which sometimes have over 200,000 referenced products. They often benefit from professional accounts and services, such as sizing studies, and have exhibition spaces ("showrooms") to showcase products to end customers. Finally, they take their orders on-site (sometimes on their way to the job sites) or have them delivered to their workplace.</w:t>
      </w:r>
    </w:p>
    <w:p>
      <w:r>
        <w:t>19. In this case, the notifying parties did not challenge this delimitation. Therefore, the effects of the operation will be analyzed in a market for specialized trading in SACHA products.</w:t>
      </w:r>
    </w:p>
    <w:p>
      <w:r>
        <w:t>2. GEOGRAPHICAL DELIMITATION</w:t>
      </w:r>
    </w:p>
    <w:p>
      <w:r>
        <w:t>20. In the sector of specialized trading in construction materials, competition is exercised from the consumer's perspective primarily at the local level. The decision-making practice, both European and national, thus considers that the market for materials trading is of local dimension, as professionals in the construction sector primarily make their purchases close to their area of intervention14.</w:t>
      </w:r>
    </w:p>
    <w:p>
      <w:r>
        <w:t>21. The decision-making practice has established that the distances traveled by consumers of construction materials vary depending on the degree of specialization of the point of sale concerned. For specialized traders, the defined catchment areas extend over a radius of approximately 50 to 75 kilometers around the point of sale. Regarding SACHA products, national practice has noted that "wholesalers in sanitary-heating delivering materials to professionals do so within a radius of 40 to 60 kilometers, on the one hand, and that professionals wish for their wholesaler to be no more than half an hour away," thus retaining a departmental dimension.</w:t>
      </w:r>
    </w:p>
    <w:p>
      <w:r>
        <w:t>22. It has also been observed that the geographical dimension of the markets for the specialized distribution of SACHA products varies due to two main factors. Firstly, the geographical specificities of each catchment area (urban density, mountainous areas, etc.) strongly influence both the location of points of sale and travel times. Secondly, the sector of specialized trading in SACHA products is characterized by a significant share of delivery. Thus, plumbers frequently receive their orders directly on their job sites (delivered sales), instead of coming to purchase them at points of sale (picked-up sales). Therefore, the actual behavior of consumers in a given area can be specified with data collected by points of sale on the actual location of their customers. It is generally considered that the catchment area of a point of sale can be limited to that which encompasses customers representing 80% of the point of sale's turnover or 80% of the point of sale's customers, depending on the available data15. The remainder is considered as occasional and insignificant clientele, sometimes very far from the point of sale.</w:t>
      </w:r>
    </w:p>
    <w:p>
      <w:r>
        <w:t>23. In this case, the notifying parties were able to identify around each Anjac CSI point of sale, a catchment area including the closest municipalities to the point of sale that captures 80% of sales.</w:t>
      </w:r>
    </w:p>
    <w:p>
      <w:r>
        <w:t>24. Previous practice has also noted that, regarding specialized trading in SACHA products, certain elements of the analysis can be examined in a broader context than just the local level16. Indeed, several competitive parameters can be assessed at the national level, notably due to the presence of distribution groups operating throughout the French territory and having a wide coverage of points of sale under a common brand.</w:t>
      </w:r>
    </w:p>
    <w:p>
      <w:r>
        <w:t>25. Consequently, the positions of the players will be examined at the national level and in the unique catchment area concerned, defined according to the methodology outlined above.</w:t>
      </w:r>
    </w:p>
    <w:p>
      <w:r>
        <w:t>III. Competitive Analysis</w:t>
      </w:r>
    </w:p>
    <w:p>
      <w:r>
        <w:t>A. DOWNSTREAM MARKET OF SPECIALIZED TRADING IN SACHA PRODUCTS</w:t>
      </w:r>
    </w:p>
    <w:p>
      <w:r>
        <w:t>National Competitive Analysis</w:t>
      </w:r>
    </w:p>
    <w:p>
      <w:r>
        <w:t>26. The parties are simultaneously active in the sector of specialized trading in SACHA products. Following the operation, Tereva will exercise joint control over Anjac CSI alongside Anjac SA. The two groups will continue to exist under their own brands during the period of joint control.</w:t>
      </w:r>
    </w:p>
    <w:p>
      <w:r>
        <w:t>27. Tereva and Comptoir Charentais du Chauffage operate 102 agencies primarily located in the regions of Aquitaine, Auvergne, Centre, Franche-Comté, Ile-de-France, Midi-Pyrénées, Poitou-Charentes, and Rhône-Alpes. For its part, Anjac CSI operates 46 agencies primarily in Brittany, Lower Normandy, Upper Normandy, Centre, Ile-de-France, and Pays-de-la-Loire. Consequently, by taking joint control of Anjac CSI, Tereva will have a network of approximately 150 agencies allowing it to create territorial continuity, as the networks of Tereva and Anjac CSI are largely complementary in geographical terms.</w:t>
      </w:r>
    </w:p>
    <w:p>
      <w:r>
        <w:t>28. The merger of the two multiregional groups will give rise to the fourth national player in the sector. Following the operation, the new entity will hold a share of</w:t>
      </w:r>
    </w:p>
    <w:p>
      <w:r>
        <w:rPr>
          <w:b/>
        </w:rPr>
        <w:t>[Pages 7–8]</w:t>
      </w:r>
    </w:p>
    <w:p>
      <w:r>
        <w:t xml:space="preserve">cumulative market share of around [5-10]% at the national level, far behind the two main market players, which are the Saint-Gobain group ([20-30]%) and Comafranc ([10-20]%)17.  </w:t>
        <w:br/>
        <w:t xml:space="preserve">29. The operation is therefore not likely to harm competition in the national market for specialized trading in SACHA products.  </w:t>
        <w:br/>
        <w:t xml:space="preserve">Local competitive analysis  </w:t>
        <w:br/>
        <w:t xml:space="preserve">30. The operation involves a single overlap in the area around the Anjac CSI sales outlet located in Evreux (27), which extends to Incarville (27) to the north, Vernon (27) to the east, Nonancourt (27) to the south, and Sebecourt (27) to the west.  </w:t>
        <w:br/>
        <w:t xml:space="preserve">31. In this area, Anjac CSI operates a specialized trading store under the Mabille brand, while the MBE group controls the specialized trading agency under the Tereva brand. Following the operation, the parties will have a combined market share in this area estimated at [10-20]% ([5-10]% for Anjac and [0-5]% for Tereva), and will face competition from the sales outlets of the Point P group ([60-70]%) and Satherna18 ([10-20]%).  </w:t>
        <w:br/>
        <w:t xml:space="preserve">32. In light of these elements, the operation is not likely to harm competition in the Evreux area.  </w:t>
        <w:br/>
        <w:t xml:space="preserve">B. UPSTREAM MARKET OF SUPPLY IN SACHA PRODUCTS  </w:t>
        <w:br/>
        <w:t xml:space="preserve">33. According to the study by the French Federation of Sanitary Equipment Dealers regarding the "2014 structural analysis of purchases of Sanitary Heating Plumbing equipment by trading networks in France" provided by the parties, the total market for purchases by specialized dealers in SACHA products amounted to 3.6 billion euros in France in 2014. In this market, purchases are structured as follows: 45.1% in heating products; 31.7% in sanitary products; 18.4% in plumbing products; and 4.8% in air conditioning products.  </w:t>
        <w:br/>
        <w:t xml:space="preserve">34. Based on this data, the parties estimated that their combined market shares would be below [5-10]%, regardless of the segmentation chosen. In this regard, it should be noted that these market shares are overestimated as they are derived from a limited upstream market based solely on purchases by specialized dealers. Purchases of SACHA products made by specialized dealers in other product families, as well as by generalist dealers and GSB, are therefore not accounted for.  </w:t>
        <w:br/>
        <w:t xml:space="preserve">35. The Authority notes that the two groups have already established, since January 2015, a joint purchasing center through the company AGILO, which is equally owned and whose activity consists of negotiating purchasing and supply conditions with the 70 largest suppliers of both groups.  </w:t>
        <w:br/>
        <w:t xml:space="preserve">36. However, given the limited positions of Tereva and Anjac CSI, the operation is not likely to harm competition in the upstream markets for the supply of SACHA products, regardless of the segmentations chosen.  </w:t>
        <w:br/>
        <w:t xml:space="preserve">17 Market shares were estimated based on a total turnover of the specialized trading sector in SACHA products valued at 7 billion euros in 2014. The market shares of the parties were obtained from their turnover in 2014. Those of competitors were estimated based on the latest known turnover figures for the year 2011.  </w:t>
        <w:br/>
        <w:t>18 In this area, professionals have access to the Satherna cooperative, which was considered in the examination of the Point P/Brossette operation as an alternative sales outlet due to its attractiveness (point 180).</w:t>
      </w:r>
    </w:p>
    <w:p>
      <w:r>
        <w:t xml:space="preserve">DECIDES  </w:t>
        <w:br/>
        <w:t xml:space="preserve">Article one: The operation notified under number 15-116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