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https://www.autoritedelaconcurrence.fr/fr/decision-de-controle-des-concentrations/relative-la-prise-de-controle-conjoint-de-cerp-rouen-par</w:t>
      </w:r>
    </w:p>
    <w:p>
      <w:r>
        <w:t>Pages translated : 13</w:t>
      </w:r>
    </w:p>
    <w:p/>
    <w:p>
      <w:r>
        <w:rPr>
          <w:b/>
        </w:rPr>
        <w:t>[Pages 1–3]</w:t>
      </w:r>
    </w:p>
    <w:p>
      <w:r>
        <w:t>FRENCH REPUBLIC</w:t>
        <w:br/>
        <w:t>Decision No. 24-DCC-93 of May 7, 2024</w:t>
        <w:br/>
        <w:t>regarding the joint control of CERP Rouen by Astera and</w:t>
        <w:br/>
        <w:t>CERP Rhin Rhône Méditerranée</w:t>
        <w:br/>
        <w:t>The Competition Authority,</w:t>
        <w:br/>
        <w:t>Having regard to the notification file submitted in full to the merger service on April 5, 2024,</w:t>
        <w:br/>
        <w:t>regarding the joint control of CERP Rouen by the companies Astera and CERP Rhin</w:t>
        <w:br/>
        <w:t>Rhône Méditerranée, formalized by a letter of intent dated May 2, 2024;</w:t>
        <w:br/>
        <w:t>Having regard to Book IV of the Commercial Code relating to the freedom of prices and competition, and</w:t>
        <w:br/>
        <w:t>notably its Articles L. 430-1 to L. 430-7;</w:t>
        <w:br/>
        <w:t>Having regard to the supplementary elements transmitted by the notifying party during the investigation;</w:t>
        <w:br/>
        <w:t>Adopts the following decision:</w:t>
      </w:r>
    </w:p>
    <w:p>
      <w:r>
        <w:t>SUMMARY</w:t>
        <w:br/>
        <w:t>I. THE COMPANIES CONCERNED AND THE TRANSACTION .............. 3</w:t>
        <w:br/>
        <w:t>A. THE PARTIES TO THE TRANSACTION ................................................................................3</w:t>
        <w:br/>
        <w:t>B. THE TRANSACTION ...............................................................................................................3</w:t>
        <w:br/>
        <w:t>II. DELINEATION OF RELEVANT MARKETS ........................... 4</w:t>
        <w:br/>
        <w:t>A. SERVICE MARKET ................................................................................................................4</w:t>
        <w:br/>
        <w:t>B. GEOGRAPHIC MARKETS .....................................................................................................5</w:t>
        <w:br/>
        <w:t>III. COMPETITIVE ANALYSIS ...................................................... 6</w:t>
        <w:br/>
        <w:t>1. ELEMENTS FOR ASSESSING THE MARKET POWER OF THE NEW ENTITY ........................................................................................................................6</w:t>
        <w:br/>
        <w:t>a) Areas subject to more detailed examination by the Authority based on market shares ................................................................................................... 6</w:t>
        <w:br/>
        <w:t>b) Taking into account market characteristics .................................... 7</w:t>
        <w:br/>
        <w:t>2. COMPETITIVE ANALYSIS AT THE NATIONAL AND LOCAL LEVEL ........9</w:t>
        <w:br/>
        <w:t>a) National level analysis ....................................................................... 9</w:t>
        <w:br/>
        <w:t>b) Local level analysis ........................................................................... 10</w:t>
        <w:br/>
        <w:t>On the method of calculating local market shares ........................................10</w:t>
        <w:br/>
        <w:t>Analysis of local areas .....................................................................................11</w:t>
        <w:br/>
        <w:t>c) Conclusion ................................................................................................ 12</w:t>
        <w:br/>
        <w:t>DECISION ..................................................................................................... 13</w:t>
      </w:r>
    </w:p>
    <w:p>
      <w:r>
        <w:t>I. The companies concerned and the transaction</w:t>
        <w:br/>
        <w:t>A. THE PARTIES TO THE TRANSACTION</w:t>
        <w:br/>
        <w:t>1. Astera is a cooperative group of more than 6,000 pharmacist members, which</w:t>
        <w:br/>
        <w:t>offers solutions for the development of pharmacies. Its main activity,</w:t>
        <w:br/>
        <w:t>carried out in France and Belgium, is the distribution of pharmaceutical products. In France,</w:t>
        <w:br/>
        <w:t>its main subsidiary, the Confraternelle d’exploitation et répartition pharmaceutique de</w:t>
        <w:br/>
        <w:t>Rouen (hereinafter "CERP Rouen") operates as a wholesale distributor through</w:t>
        <w:br/>
        <w:t>32 depots. Astera also engages in pharmaceutical wholesaling for</w:t>
        <w:br/>
        <w:t>laboratories through its subsidiary Eurodep and purchasing group activities through La Centrale des Pharmaciens.</w:t>
        <w:br/>
        <w:t>Additionally, Astera engages in the sale and marketing of medical equipment through its subsidiary Oxypharm.</w:t>
        <w:br/>
        <w:t>2. The company Confraternelle d’exploitation et répartition pharmaceutique Rhin Rhône</w:t>
        <w:br/>
        <w:t>Méditerranée (hereinafter "CERP RRM") is a public limited company whose capital is held</w:t>
        <w:br/>
        <w:t>by 3,190 shareholders1. It also operates as a wholesale distributor through</w:t>
        <w:br/>
        <w:t>25 depots in France. Furthermore, it owns Coalia, which is a purchasing group structure ("SRA") whose capital is currently held 50% by CERP</w:t>
        <w:br/>
        <w:t>RRM and 50% by member pharmacists. Additionally, CERP RRM engages in the</w:t>
        <w:br/>
        <w:t>sale and marketing of medical equipment through its subsidiary Pharmat.</w:t>
        <w:br/>
        <w:t>B. THE TRANSACTION</w:t>
        <w:br/>
        <w:t>3. The transaction involves the transfer of the pharmaceutical distribution activity of CERP RRM2,</w:t>
        <w:br/>
        <w:t>as well as the ancillary activity of wholesaling, to CERP Rouen, which will adopt a</w:t>
        <w:br/>
        <w:t>new corporate name and new statutes (hereinafter "CERP Réunies").</w:t>
        <w:br/>
        <w:t>4. The transaction also includes the transfer to CERP Réunies of CERP RRM's</w:t>
        <w:br/>
        <w:t>50% stake in the capital of the company Coalia3. Following the transaction, Astera and CERP RRM will hold 66% and 34% of the capital of</w:t>
        <w:br/>
        <w:t>CERP Réunies, respectively. Although CERP RRM will be a minority shareholder, the proposed Shareholders' Agreement provides that the directors of CERP Réunies will be appointed alternately by Astera and by CERP RRM. Furthermore, it appears from the draft statutes of CERP</w:t>
        <w:br/>
        <w:t>Réunies that no strategic decision such as the approval of the budget or the dismissal</w:t>
        <w:br/>
        <w:t>of directors can be adopted without the agreement of CERP RRM. Astera and CERP RRM</w:t>
        <w:br/>
        <w:t>will thus exercise joint control over CERP Réunies.</w:t>
        <w:br/>
        <w:t>5. The transaction results in the transition from exclusive control by Astera over CERP Rouen to joint control by Astera and CERP RRM over CERP Rouen, now CERP Réunies. The latter will sustainably perform all the functions of an autonomous economic entity.</w:t>
        <w:br/>
        <w:t>1 The largest shareholder holds 2.75% of the capital.</w:t>
        <w:br/>
        <w:t>2 Prior to the transaction, this activity is 100% controlled by CERP RRM.</w:t>
        <w:br/>
        <w:t>3 The remainder of the capital will be held by member pharmacists on behalf of whom Coalia purchases</w:t>
        <w:br/>
        <w:t>non-reimbursable products.</w:t>
      </w:r>
    </w:p>
    <w:p>
      <w:r>
        <w:rPr>
          <w:b/>
        </w:rPr>
        <w:t>[Pages 4–6]</w:t>
      </w:r>
    </w:p>
    <w:p>
      <w:r>
        <w:t xml:space="preserve">6. Thus, the notified transaction constitutes a concentration within the meaning of Article L. 430-1 of the Commercial Code.  </w:t>
        <w:br/>
        <w:t xml:space="preserve">7. The companies concerned together achieve a total worldwide turnover of more than 150 million euros (Astera: approximately [≥ 150 million] euros for the fiscal year ending December 31, 20224; CERP RRM: approximately [≥ 150 million] euros for the fiscal year ending December 31, 2022). Each of these companies generates, in France, a turnover exceeding 50 million euros (Astera: approximately [≥ 50 million] euros for the fiscal year ending December 31, 2022; CERP RRM: approximately [≥ 50 million] euros for the fiscal year ending December 31, 2022). Each of the companies concerned generates more than two-thirds of its turnover in France, thus the transaction does not fall under the jurisdiction of the European Union. However, the control thresholds mentioned in point I of Article L. 430-2 of the Commercial Code are exceeded. The present transaction is therefore subject to the provisions of Articles L. 430-3 and following of the Commercial Code relating to economic concentration.  </w:t>
        <w:br/>
        <w:t xml:space="preserve">II. Delimitation of Relevant Markets  </w:t>
        <w:br/>
        <w:t xml:space="preserve">8. CERP Réunies will combine the wholesale distribution activities of CERP Rouen and CERP RRM5.  </w:t>
        <w:br/>
        <w:t xml:space="preserve">A. SERVICE MARKET  </w:t>
        <w:br/>
        <w:t xml:space="preserve">4 In accordance with paragraph 128 of the Guidelines of the Competition Authority regarding the control of concentrations, the total worldwide turnover of Astera is adjusted to account for both the exit of its capital from the company Sanastera S.P.A., and indirectly from the company Sanacorp GmbH which it held at 50%, and its increase in stake in CERP Rouen from 50% to 100%, which occurred in November 2023 (see in this regard the Authority's decision No. 23-DCC-150 of July 26, 2023, regarding the exclusive control of the CERP Rouen group by Astera).  </w:t>
        <w:br/>
        <w:t xml:space="preserve">5 The parties also propose, outside of their wholesale distribution activity, a depositary activity. They also hold purchasing group structures. Astera and CERP RRM are also active in the markets for the rental and sale of medical equipment through their subsidiaries Oxypharm and Pharmat. Given the low market shares of the parties in these markets, they will not be subject to further analysis in this decision. Furthermore, CERP RRM owns the company Masterpharm active in the field of professional training for pharmacists and Holivia, active in the field of intermediation regarding the transfer of pharmacies. The turnovers of these two entities are marginal. Finally, CERP Rouen and CERP RRM hold, along with CERP Bretagne Atlantique (hereinafter "CERP BA"), a joint subsidiary named CERP France whose main activity is the joint response of the three CERP to calls for tenders, at the national or interregional level, relating to non-medicinal products. The activity of this entity is marginal for the parties and the present transaction will not impact it.  </w:t>
        <w:br/>
        <w:t xml:space="preserve">9. The consistent practice of the Competition Authority and the minister6 considers that the pharmaceutical distribution market is a distinct market. The wholesaler-distributor provides, with authorization from the National Agency for the Safety of Medicines (ANSM), an intermediation service between pharmaceutical laboratories and pharmacies, in compliance with public service obligations7. By being able to offer pharmacists the entire range of medications in a very short time, this service is distinguished from direct sales by laboratories and sales via pharmaceutical purchasing groups (hereinafter "CAP")8.  </w:t>
        <w:br/>
        <w:t xml:space="preserve">10. The decision-making practice excludes short-liners from the pharmaceutical distribution market, retaining only full-liners9, that is to say, wholesale distributors with a complete range of medications, offering conventional and frequent delivery (several times a day) of all products at legally authorized prices.  </w:t>
        <w:br/>
        <w:t xml:space="preserve">11. Finally, the decision-making practice includes all categories of medications (reimbursable under patent, generics, non-reimbursable, and parapharmaceutical products) within the pharmaceutical distribution market and does not proceed to a segmentation by category of medication10.  </w:t>
        <w:br/>
        <w:t xml:space="preserve">B. GEOGRAPHIC MARKETS  </w:t>
        <w:br/>
        <w:t xml:space="preserve">12. The decision-making practice retains both a national and local delimitation of the pharmaceutical distribution market11.  </w:t>
        <w:br/>
        <w:t xml:space="preserve">13. The market indeed presents national characteristics in that the regulatory conditions applicable to the activity of wholesale distributors are homogeneous across the entire French territory. The main operators are established throughout the national territory and wholesale distributors respond to the demand of pharmacy groups that can be organized on a national or multi-regional basis.  </w:t>
        <w:br/>
        <w:t xml:space="preserve">14. The market also has a local dimension in that wholesale distributors must ensure a local presence to meet the needs of their clients and thus develop a significant network of depots across the national territory.  </w:t>
        <w:br/>
        <w:t xml:space="preserve">15. In accordance with its decision-making practice, the Authority retains, for the purposes of local analyses, the actual footprints of 100% of the recurring clientele of the parties' depots, excluding clients located on islands as well as clients delivered occasionally (less than four consecutive months in a given year)12.  </w:t>
        <w:br/>
        <w:t xml:space="preserve">16. In this case, the analysis of the effects of the transaction will be conducted at the national level and at the level of the actual footprints of all clients of the depots of CERP Rouen and CERP RRM.  </w:t>
        <w:br/>
        <w:t xml:space="preserve">III. Competitive Analysis  </w:t>
        <w:br/>
        <w:t xml:space="preserve">17. The transaction results in an overlap of the activities of CERP Rouen and CERP RRM in the pharmaceutical distribution market.  </w:t>
        <w:br/>
        <w:t xml:space="preserve">18. It is then necessary to question the risk that the transaction confers or strengthens the market power that one of the parties held prior to the transaction, allowing, in this case, CERP Réunies to degrade the commercial conditions of its clients13, or to diminish the quality of services rendered to them. This assessment requires examining the market power of the parties taking into account both the market shares of the parties and the characteristics of the market.  </w:t>
        <w:br/>
        <w:t xml:space="preserve">1. ELEMENTS FOR ASSESSING THE MARKET POWER OF THE NEW ENTITY  </w:t>
        <w:br/>
        <w:t xml:space="preserve">a) Areas Subject to More Detailed Examination by the Authority Based on Market Shares  </w:t>
        <w:br/>
        <w:t xml:space="preserve">19. The market shares of the parties, their competitors, and the degree of concentration of the relevant market provide a useful indication for determining the market power of the new entity14. The higher the market share of the new entity relative to those of its competitors, the greater the likelihood that it confers or strengthens market power.  </w:t>
        <w:br/>
        <w:t xml:space="preserve">20. In this regard, paragraph 622 of the guidelines recalls that "the existence of large market shares is an important element in assessing the market power of a company. High post-transaction market shares, on the order of 50% or more, may suggest the existence of significant market power. However, such a presumption is rebuttable."  </w:t>
        <w:br/>
        <w:t>21. However, one cannot exclude by principle any competition issue in the presence of market shares below the threshold indicated above, as the analysis of the effects of a transaction must consider all relevant factors.</w:t>
      </w:r>
    </w:p>
    <w:p>
      <w:r>
        <w:rPr>
          <w:b/>
        </w:rPr>
        <w:t>[Pages 7–9]</w:t>
      </w:r>
    </w:p>
    <w:p>
      <w:r>
        <w:t>operation must be conducted based on the competitive structure of each relevant market. Thus, the Competition Authority has already considered several times that a combined market share of the parties between 40 and 50% could justify that catchment areas be subject to a detailed examination15.</w:t>
      </w:r>
    </w:p>
    <w:p>
      <w:r>
        <w:t>22. In this case, the Authority will examine in detail the market at the national level and all the catchment areas where the market share of the new entity will exceed 40%.</w:t>
      </w:r>
    </w:p>
    <w:p>
      <w:r>
        <w:t>b) Consideration of market characteristics</w:t>
      </w:r>
    </w:p>
    <w:p>
      <w:r>
        <w:t>23. In addition to market shares, the Authority focuses, in its assessment of market power, on analyzing the specific characteristics of a sector affected by the concentration operations subject to its control. It has thus already been led to highlight certain characteristics of the French pharmaceutical distribution market, which are recalled below16.</w:t>
      </w:r>
    </w:p>
    <w:p>
      <w:r>
        <w:t>Legal framework of margins and quality of services</w:t>
      </w:r>
    </w:p>
    <w:p>
      <w:r>
        <w:t>24. Both prices and the quality of services provided by wholesale distributors are regulated by French legislation.</w:t>
      </w:r>
    </w:p>
    <w:p>
      <w:r>
        <w:t>25. Regarding the distribution of reimbursable medications (original and generic), which represent 80% of their turnover, wholesale distributors can only act on their margins17. However, these are strictly regulated18. These margins do not influence the price paid by the final consumer but are reflected in the margin received by the pharmacist. The remuneration of the latter is also subject to regulation19.</w:t>
      </w:r>
    </w:p>
    <w:p>
      <w:r>
        <w:t>15 See, in this sense, decisions No. 22-DCC-186 of September 30, 2022, regarding the exclusive control of McKesson Europe by the Phoenix group, point 99, No. 20-DCC-164 of November 17, 2020, regarding the exclusive control of assets of Franprix Leader Price Holding by Aldi, point 60, and No. 15-DCC-115 of September 18, 2015, regarding the exclusive control of Audika Groupe and its subsidiaries by the William Demant group, point 45.</w:t>
      </w:r>
    </w:p>
    <w:p>
      <w:r>
        <w:t>16 Decision No. 22-DCC-186 of September 30, 2022, regarding the exclusive control of McKesson Europe by the Phoenix group, points 73 and following.</w:t>
      </w:r>
    </w:p>
    <w:p>
      <w:r>
        <w:t>17 Regarding reimbursable medications, original or generic, the selling price is set by regulation after negotiation between pharmaceutical laboratories and public authorities. To this negotiated price ("Manufacturer's price excluding taxes" or "PFHT"), the distribution margins that compensate the wholesale distributor and the pharmacist are added, resulting in the total corresponding to the public price excluding taxes ("Public price excluding taxes" or "PPHT").</w:t>
      </w:r>
    </w:p>
    <w:p>
      <w:r>
        <w:t>18 The decree of August 4, 1987, concerning the prices and margins of reimbursable medications, vaccines, and prepared allergens, regulates the minimum and maximum margin rates of wholesale distributors as well as the discount rates based on, among other things, the type of medications (original or generic). Wholesale distributors therefore purchase products from laboratories at the PFHT, with possible discounts, to then resell them to pharmacies at the PFHT plus the level of the retained margin, this margin being defined as the regulated margin allowed possibly reduced by the discounts granted.</w:t>
      </w:r>
    </w:p>
    <w:p>
      <w:r>
        <w:t>19 See the opinion of the Competition Authority No. 19-A-08 regarding the sectors of pharmaceutical distribution in cities and private medical biology, points 994 and following, and decision No. 22-DCC-186 of September 30, 2022, regarding the exclusive control of McKesson Europe by the Phoenix group.</w:t>
      </w:r>
    </w:p>
    <w:p>
      <w:r>
        <w:t>26. Regarding the distribution of non-reimbursable medications and parapharmaceuticals, while prices and rates are free, these products are primarily distributed to pharmacists through the direct sales channel, without the intervention of the wholesale distributor20.</w:t>
      </w:r>
    </w:p>
    <w:p>
      <w:r>
        <w:t>27. Under these conditions, the overlap of wholesale distributor activities of the parties could only have limited pricing effects.</w:t>
      </w:r>
    </w:p>
    <w:p>
      <w:r>
        <w:t>28. Concerning the quality of services provided by wholesale distributors, these are strongly regulated by the public service obligations set out in Article R5124-59 of the Public Health Code. Notably, the wholesale distributor is required to meet at all times21 the consumption needs of its regular clientele for at least two weeks and to deliver within 24 hours any order placed before Saturday at 2 PM, of any presentation of specialties actually marketed, with the exception of medications reserved for hospital use, medicinal plants, and homeopathic medications. The wholesale distributor must have "for its distribution, in an effective and sufficient manner to cover the needs of the declared distribution territory, an assortment of medications comprising at least nine-tenths of the presentations of pharmaceutical specialties actually marketed in France (...)." This obliges the wholesale distributor to have, at all times, a significant quantity of products, the quality of which is already guaranteed as these products are medications.</w:t>
      </w:r>
    </w:p>
    <w:p>
      <w:r>
        <w:t>29. Thus, any potential degradation in the quality of services provided could only concern services going beyond the public service obligations imposed on wholesale distributors.</w:t>
      </w:r>
    </w:p>
    <w:p>
      <w:r>
        <w:t>Competitive pressure from direct sales</w:t>
      </w:r>
    </w:p>
    <w:p>
      <w:r>
        <w:t>30. Direct sales correspond to the sales circuit of products by pharmaceutical laboratories directly to pharmacies. These direct sales can concern both reimbursable and non-reimbursable medications, as well as parapharmaceuticals. As stated above, the Authority believes that these sales are excluded from the pharmaceutical distribution product market. However, the Authority considers that direct sales, which represent approximately 40% in value of a pharmacist's supplies, exert a certain competitive pressure on the activities of wholesale distributors, particularly regarding the distribution of non-reimbursable medications22. It remains more limited regarding the distribution of reimbursable medications.</w:t>
      </w:r>
    </w:p>
    <w:p>
      <w:r>
        <w:t>Absence of barriers to competitor expansion</w:t>
      </w:r>
    </w:p>
    <w:p>
      <w:r>
        <w:t>31. In the event that the parties were to attempt to degrade the commercial conditions of their clients or to diminish the quality of services rendered to them, the pharmacist clients could easily turn to competing wholesale distributors.</w:t>
      </w:r>
    </w:p>
    <w:p>
      <w:r>
        <w:t>32. Indeed, wholesale distributors active in France have the capacity to absorb new clients.</w:t>
      </w:r>
    </w:p>
    <w:p>
      <w:r>
        <w:t>20 Wholesale distributors only account for 20% of supplies of non-reimbursable medications.</w:t>
      </w:r>
    </w:p>
    <w:p>
      <w:r>
        <w:t>21 Outside of Saturday after 2 PM, Sunday, and public holidays.</w:t>
      </w:r>
    </w:p>
    <w:p>
      <w:r>
        <w:t>22 See paragraphs 83 and following of the aforementioned decision No. 22-DCC-186.</w:t>
      </w:r>
    </w:p>
    <w:p>
      <w:r>
        <w:t>33. Furthermore, it appears from the investigation in this case that there is no contractual constraint regarding the possibility for a pharmacist to turn to one or more wholesale distributors other than the parties.</w:t>
      </w:r>
    </w:p>
    <w:p>
      <w:r>
        <w:t>The counter-power of pharmacy groups</w:t>
      </w:r>
    </w:p>
    <w:p>
      <w:r>
        <w:t>34. A large number of pharmacies, approximately 90% in terms of value, are affiliated with a purchasing group for pharmaceutical products. These groups negotiate, on behalf of their pharmacist members, the purchase prices of medications and other products with pharmaceutical laboratories and wholesale distributors. They also provide services to their members such as website creation, IT service offerings, delivery service offerings, management services (IT, financial, accounting, etc.), or training.</w:t>
      </w:r>
    </w:p>
    <w:p>
      <w:r>
        <w:t>35. The Authority has noted that pharmacy groups, which negotiate better commercial conditions on behalf of their members, are able to temper the market power of wholesale distributors23.</w:t>
      </w:r>
    </w:p>
    <w:p>
      <w:r>
        <w:t>Conclusion on market characteristics</w:t>
      </w:r>
    </w:p>
    <w:p>
      <w:r>
        <w:t>36. All the characteristics described above, relating to the regulation of margins, the competitive pressure of direct sales, the counter-power of demand, and the absence of barriers to competitor expansion, will be taken into account to analyze the market power of the parties in the national and local markets.</w:t>
      </w:r>
    </w:p>
    <w:p>
      <w:r>
        <w:t>2. COMPETITIVE ANALYSIS AT THE NATIONAL AND LOCAL LEVEL</w:t>
      </w:r>
    </w:p>
    <w:p>
      <w:r>
        <w:t>a) National level analysis</w:t>
      </w:r>
    </w:p>
    <w:p>
      <w:r>
        <w:t>37. In the national pharmaceutical distribution market in France, the combined market share of the parties is [30-40]%, with the operation resulting in an increment of market share of approximately [10-20] points.</w:t>
      </w:r>
    </w:p>
    <w:p>
      <w:r>
        <w:t>38. The operation reduces the number of operators in the already concentrated pharmaceutical distribution market from six players to five24.</w:t>
      </w:r>
    </w:p>
    <w:p>
      <w:r>
        <w:t>39. However, the parties will still face competition from four other players: OCP/Phoenix (hereinafter "Phoenix") which will retain a market share greater than that of the new entity ([40-50]%), Alliance Healthcare (hereinafter "Alliance") ([10-20]%), CERP BA ([0-5]%), and Giphar ([0-5]%).</w:t>
      </w:r>
    </w:p>
    <w:p>
      <w:r>
        <w:t>40. Two of the competitors of the new entity, namely Phoenix and Alliance, are of national scope. The presence of national players ensures that pharmacies and client groups of the new entity will have credible alternatives throughout the territory to the services provided by the new entity in the event that the latter degrades the prices or quality of the services offered to its clients.</w:t>
      </w:r>
    </w:p>
    <w:p>
      <w:r>
        <w:t>23 See paragraphs 89 and following of the aforementioned decision No. 22-DCC-186.</w:t>
      </w:r>
    </w:p>
    <w:p>
      <w:r>
        <w:t>24 In this case, prior to the operation, the Herfindahl-Hirschman Index (HHI) in the pharmaceutical distribution market was approximately [2,600-2,700]. After the operation, the index will be [3,100-3,200], representing a delta of approximately [500-550].</w:t>
      </w:r>
    </w:p>
    <w:p>
      <w:r>
        <w:rPr>
          <w:b/>
        </w:rPr>
        <w:t>[Pages 10–12]</w:t>
      </w:r>
    </w:p>
    <w:p>
      <w:r>
        <w:t>41. Given the market shares of the new entity, the presence and weight of competitors, the absence of barriers to their expansion, the competitive pressure from direct sales, and the countervailing power of demand, the Authority considers that the transaction is not likely to harm competition in the pharmaceutical distribution market at the national level.</w:t>
      </w:r>
    </w:p>
    <w:p>
      <w:r>
        <w:t>b) Analysis at the local level</w:t>
        <w:br/>
        <w:t>On the method of calculating local market shares</w:t>
        <w:br/>
        <w:t>42. During the investigation, the notifying party proposed using a method that calculates the positions of the parties at the departmental level, based on the revenues generated from pharmacies by department and independently of the geographical positioning of the parties' warehouses. Departmental administrative boundaries, while allowing for a finer granular analysis, do not accurately represent the catchment areas of the pharmaceutical distributors' warehouses and, more specifically, their potential intersection.</w:t>
      </w:r>
    </w:p>
    <w:p>
      <w:r>
        <w:t>43. For this reason, the notifying party supplemented this first method with a second approach that calculates the positions of the parties and their competitors within a given geographical area: that of the actual footprint of the warehouse belonging to either of the parties. According to this method, local market shares in value are calculated by taking into account the customers located in the relevant catchment area and include all warehouses of wholesale distributors that deliver to customers located in this area, including warehouses that are not situated in this geographical area. Conversely, sales made to customers not residing in the relevant actual footprint are not taken into account, even if the warehouse is located in this geographical area.</w:t>
      </w:r>
    </w:p>
    <w:p>
      <w:r>
        <w:t>44. The actual footprints by warehouse are defined by aggregating revenues by Geographical Analysis Units ("UGA") in which the warehouse has at least one customer. Revenues by wholesale distributor and by UGA25 are collected and published monthly by the Group for the Development and Realization of Statistics (GERS)26.</w:t>
      </w:r>
    </w:p>
    <w:p>
      <w:r>
        <w:t>45. The Authority believes that applying the actual footprint method "allows for the precise identification of sales from the warehouses of wholesale distributors that deliver to pharmacies established in an area and thus more accurately reflects the competitive pressure between the warehouses of wholesale distributors. It allows for a relatively fine analysis of the competitive pressure that competing warehouses can exert since each is only taken into account to the extent of the proportion of customers located in the recruitment area of the studied warehouse at the center of the area, who actually turn to the competing warehouse"27.</w:t>
      </w:r>
    </w:p>
    <w:p>
      <w:r>
        <w:t>25 The GERS divides the French territory into 746 UGAs defined to be comparable in terms of population, each comprising approximately 30 pharmacies, and collects data from wholesale distributors, whether they are full liners or short liners, as well as direct sales by pharmaceutical manufacturers.</w:t>
        <w:br/>
        <w:t>26 An economic interest grouping created by companies in the pharmaceutical industry and representing 99% of the drug market.</w:t>
        <w:br/>
        <w:t>27 See point 110 of decision n° 22-DCC-186 referenced above.</w:t>
      </w:r>
    </w:p>
    <w:p>
      <w:r>
        <w:t>46. In light of these elements, the Authority considers that the local competitive analysis should be conducted based on market shares calculated according to the location of the parties' customers based on actual footprints.</w:t>
      </w:r>
    </w:p>
    <w:p>
      <w:r>
        <w:t>Analysis of local areas</w:t>
        <w:br/>
        <w:t>47. The Authority analyzed 56 catchment areas representing the actual footprints of the 32 warehouses belonging to CERP Rouen and the 24 warehouses belonging to CERP RRM. In view of the contextual elements recalled in paragraphs 24 and following, the Authority considers that any risk of harm to competition can be ruled out as long as the new entity will have a market share of less than 40%.</w:t>
      </w:r>
    </w:p>
    <w:p>
      <w:r>
        <w:t>48. The transaction does not result in any overlap of the parties' activities in 32 local areas and a market share increment strictly below 2 points in nine areas, for which the transaction does not prima facie harm competition. Indeed, inasmuch as in these nine areas, the market share of the already present party does not exceed 50%, the market share increment does not reinforce an already very strong position28.</w:t>
      </w:r>
    </w:p>
    <w:p>
      <w:r>
        <w:t>49. Of the remaining 15 areas where there is an overlap of activities, the new entity will have, after the transaction, a market share between 40% and 49% in four local areas, and a market share below 52% in two local areas.</w:t>
      </w:r>
    </w:p>
    <w:p>
      <w:r>
        <w:t>50. In the area of the CERP Rouen warehouse, located south of Lyon, the market share of the new entity will be around [40-50]% (CERP Rouen: [10-20]% ; CERP RRM: [20-30]%). The new entity will continue to face competition from a player of a similar scale to CERP Réunies, Phoenix, which will have a significant market share greater than that of the new entity ([40-50]%) as well as from Alliance ([10-20]%), the third player in the area, which also has a national presence. Furthermore, Giphar is also present with a market share of approximately [0-5]%. The Authority considers that, under these conditions and in light of the elements recalled in points 24 and following, the transaction is not likely to lead to anti-competitive effects in this area.</w:t>
      </w:r>
    </w:p>
    <w:p>
      <w:r>
        <w:t>51. In the area of the CERP RRM warehouse, located in Annecy, the market share of the new entity will be around [40-50]% (CERP Rouen: [0-5]% ; CERP RRM: [30-40]%). The new entity will continue to face competition from a player of a similar scale to CERP Réunies, Phoenix, which will have a significant market share ([30-40]%) as well as from Alliance ([20-30]%), the third player in the area, which also has a national presence. Furthermore, Giphar is also present with a market share of approximately [0-5]%. The Authority considers that, under these conditions and in light of the elements recalled in points 24 and following, the transaction is not likely to lead to anti-competitive effects in this area.</w:t>
      </w:r>
    </w:p>
    <w:p>
      <w:r>
        <w:t>52. In the area of the CERP RRM warehouse, located in Chalon-sur-Saône, the market share of the new entity will be around [40-50]% (CERP Rouen: [10-20]% ; CERP RRM: [30-40]%). The new entity will continue to face competition from a player of a similar scale to CERP Réunies, Phoenix, which will have a significant market share ([30-40]%) as well as from Alliance ([10-20]%), the third player in the area, which also has a national presence. Furthermore, Giphar is also present with a market share of approximately [0-5]%. The Authority considers that, under these conditions and in light of the elements recalled in points 24 and following, the transaction is not likely to lead to anti-competitive effects in this area.</w:t>
      </w:r>
    </w:p>
    <w:p>
      <w:r>
        <w:t>53. In the area of the CERP RRM warehouse, located in Grenoble, the market share of the new entity will be around [40-50]% (CERP Rouen: [0-5]% ; CERP RRM: [40-50]%). The new entity will continue to face competition from a player of a similar scale to CERP Réunies, Phoenix, which will have a significant market share ([30-40]%) as well as from Alliance ([10-20]%), the third player in the sector, which also has a national presence. Furthermore, Giphar is also present with a market share of approximately [0-5]%. The Authority considers that, under these conditions and in light of the elements recalled in points 24 and following, the transaction is not likely to lead to anti-competitive effects in this area.</w:t>
      </w:r>
    </w:p>
    <w:p>
      <w:r>
        <w:t>54. In the area of the CERP RRM warehouse, located in Valence, the market share of the new entity will be around [50-60]% (CERP Rouen: [10-20]% ; CERP RRM: [30-40]%). The new entity will continue to face competition from a player of a similar scale to CERP Réunies, Phoenix, which will have a significant market share ([30-40]%) as well as from Alliance ([10-20]%), the third player in the area, which also has a national presence. Furthermore, Giphar is also present with a market share of approximately [0-5]%. The Authority considers that, under these conditions and in light of the elements recalled in points 24 and following, the transaction is not likely to lead to anti-competitive effects in this area.</w:t>
      </w:r>
    </w:p>
    <w:p>
      <w:r>
        <w:t>55. In the area of the CERP RRM warehouse, located in Lons-le-Saunier, the market share of the new entity will be around [50-60]% (CERP Rouen: [10-20]% ; CERP RRM: [30-40]%). The new entity will continue to face competition from a player of a similar scale to CERP Réunies, Phoenix, which will have a significant market share ([30-40]%) as well as from Alliance ([10-20]%), the third player in the area, which also has a national presence. Furthermore, Giphar is also present with a market share of approximately [0-5]%. The Authority considers that, under these conditions and in light of the elements recalled in points 24 and following, the transaction is not likely to lead to anti-competitive effects in this area.</w:t>
      </w:r>
    </w:p>
    <w:p>
      <w:r>
        <w:t>c) Conclusion</w:t>
        <w:br/>
        <w:t>56. The concentration project is not likely to lead to anti-competitive effects either at the national or local level.</w:t>
      </w:r>
    </w:p>
    <w:p>
      <w:r>
        <w:rPr>
          <w:b/>
        </w:rPr>
        <w:t>[Pages 13–13]</w:t>
      </w:r>
    </w:p>
    <w:p>
      <w:r>
        <w:t xml:space="preserve">DECISION  </w:t>
        <w:br/>
        <w:t xml:space="preserve">Sole Article: The operation notified under number 23-244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