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https://www.autoritedelaconcurrence.fr/fr/decision-de-controle-des-concentrations/relative-la-prise-de-controle-conjoint-de-chr-group-par-psg</w:t>
      </w:r>
    </w:p>
    <w:p>
      <w:r>
        <w:t>Pages translated : 2</w:t>
      </w:r>
    </w:p>
    <w:p/>
    <w:p>
      <w:r>
        <w:rPr>
          <w:b/>
        </w:rPr>
        <w:t>[Pages 1–2]</w:t>
      </w:r>
    </w:p>
    <w:p>
      <w:r>
        <w:t xml:space="preserve">FRENCH REPUBLIC  </w:t>
        <w:br/>
        <w:t xml:space="preserve">Decision No. 26-DCC-132 of June 19, 2026  </w:t>
        <w:br/>
        <w:t xml:space="preserve">regarding the joint control acquisition of CHR Group  </w:t>
        <w:br/>
        <w:t xml:space="preserve">by PSG Equity and Verto  </w:t>
        <w:br/>
        <w:t xml:space="preserve">The Competition Authority,  </w:t>
        <w:br/>
        <w:t xml:space="preserve">Having regard to the complete notification file submitted to the mergers department on June 1, 2026,  </w:t>
        <w:br/>
        <w:t xml:space="preserve">concerning the joint control acquisition of CHR Group and all its subsidiaries by an investment fund controlled by PSG Ultimate GP Managing Member, alongside one or more investment funds controlled by Verto SAS, the latter exercising exclusive control over CHR Group prior to the present operation, formalized by a purchase promise dated April 19, 2026;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1. The notified operation consists of the joint control acquisition of CHR Group and all its subsidiaries by an investment fund controlled by PSG Ultimate GP Managing Member itself controlled by PSG Equity, alongside one or more investment funds controlled by Verto. The main sector concerned by the notified operation is that of publishing application software for businesses.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26-126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