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https://www.autoritedelaconcurrence.fr/fr/decision-de-controle-des-concentrations/relative-la-prise-de-controle-conjoint-de-comexposium</w:t>
      </w:r>
    </w:p>
    <w:p>
      <w:r>
        <w:t>Pages translated : 10</w:t>
      </w:r>
    </w:p>
    <w:p/>
    <w:p>
      <w:r>
        <w:rPr>
          <w:b/>
        </w:rPr>
        <w:t>[Pages 1–3]</w:t>
      </w:r>
    </w:p>
    <w:p>
      <w:r>
        <w:t>FRENCH REPUBLIC</w:t>
        <w:br/>
        <w:t>Decision No. 15-DCC-82 of July 8, 2015</w:t>
        <w:br/>
        <w:t>regarding the joint control of Comexposium Holding SA</w:t>
        <w:br/>
        <w:t>by Watling Street Capital Partners LLP and the Chamber of Commerce</w:t>
        <w:br/>
        <w:t>and Industry of the Paris-Île-de-France Region</w:t>
        <w:br/>
        <w:t>The Competition Authority,</w:t>
        <w:br/>
        <w:t>Having regard to the notification file submitted in full to the concentrations service on June 3, 2015,</w:t>
        <w:br/>
        <w:t>regarding the joint control of Comexposium Holding SA by Watling Street Capital</w:t>
        <w:br/>
        <w:t>Partners LLP and the Chamber of Commerce and Industry of the Paris-Île-de-France Region,</w:t>
        <w:br/>
        <w:t>formalized by a share purchase agreement dated March 31, 2015;</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concerned companies and the operation</w:t>
        <w:br/>
        <w:t>1. Watling Street Capital Partners LLP is a company under English law at the head of the Charterhouse group, which brings together several investment fund management companies (hereinafter, "Watling Street"). Watling Street engages, through its controlling interests in about ten companies, in various activities such as the provision of financial, legal, and insurance services, the development and marketing of energy and environmental-related technological products and services, the production and marketing of food products, and the provision of services allowing the outsourcing of customer relationship management. Watling Street is primarily active in the United Kingdom, Germany, Italy, and France. The capital of Watling Street is divided among several dozen shareholders, none of whom is able to exert a decisive influence over the company.</w:t>
        <w:br/>
        <w:t>2. The Chamber of Commerce and Industry of the Paris-Île-de-France region (hereinafter, "CCIR") was created on January 1, 2013, by decree No. 2012-595 of April 27, 2012, under which the chambers of commerce and industry of Essonne, Seine-et-Marne, Hauts-de-Seine, Paris, Seine-Saint-Denis, Val-de-Marne, Val-d'Oise, and Yvelines were merged into a single regional chamber of commerce and industry. The CCIR is an administrative public establishment of an economic nature placed under the supervision of the State and administered by business leaders elected by their peers. Pursuant to Article L. 710-1 of the Commercial Code, the network of chambers of commerce and industry must contribute to the economic development of territories, businesses, and their associations by fulfilling public service missions, of general interest and collective interest. They have a function of representing the interests of industry, commerce, and services to public authorities. The CCIR controls, jointly with Unibail, the companies Viparis and Comexposium, respectively active in the sector of managing sites dedicated to hosting congresses, fairs, and exhibitions and in the sector of organizing fairs and exhibitions.</w:t>
        <w:br/>
        <w:t>3. Comexposium Holding (hereinafter, "Comexposium") is a joint-stock company jointly owned and controlled by the CCIR and Unibail. Comexposium specializes in organizing fairs and exhibitions covering nearly twenty sectors of activity, targeting both the general public and professionals. In addition, Comexposium offers its clients ancillary services not directly related to the organization of the events themselves, referred to as "non-competitive" services (provision of stands, furniture, flowers, logistical services in general, etc.).</w:t>
        <w:br/>
        <w:t>4. The operation, formalized by a share purchase agreement dated March 31, 2015, consists of the transfer of the entirety of Comexposium's capital to an acquisition holding company that will be jointly controlled by Watling Street and the CCIR. Under the share purchase agreement and the draft share transfer agreement, Watling Street and the CCIR will hold 50.1% and 49.9% of the capital and voting rights of the acquisition holding company, respectively. Under the draft new shareholders' agreement of this company, Watling Street will have four representatives out of seven and will be able to unilaterally decide on the choice of the president of the target company and the management staff. The CCIR will remain able to exert a decisive influence over Comexposium as its agreement will remain essential for making important strategic decisions such as (i) the adoption and updates of the Multi-Year Business Plan of the target company, which defines its financial objectives for the next five years, (ii) the adoption of the annual budget, and (iii) the appointment of the Chairman of the Board of Directors of Comexposium who organizes and directs its work. It follows from the above that Watling Street and the CCIR will have the possibility to exert a decisive influence over Comexposium.</w:t>
        <w:br/>
        <w:t>5. As it results in the joint control of Watling Street over Comexposium, alongside the CCIR, the notified operation constitutes a concentration operation within the meaning of Article L. 430-1 of the Commercial Code.</w:t>
        <w:br/>
        <w:t>6. The concerned companies together achieve a total worldwide turnover excluding tax of more than 150 million euros (Watling Street: […] euros for the fiscal year ending March 31, 2014; CCIR: […] euros for the fiscal year ending December 31, 2013; Comexposium: […] euros for the fiscal year ending December 31, 2014). Two of them achieved a turnover in France exceeding 50 million euros (Watling Street: […] euros for the fiscal year ending March 31, 2014; CCIR: […] euros for the fiscal year ending December 31, 2013; Comexposium: […] euros for the fiscal year ending December 31, 2014).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A. SERVICE MARKET</w:t>
        <w:br/>
        <w:t>7. In the letter of November 13, 2007, the Minister of Economy noted that the sector of fairs, exhibitions, and congresses mobilizes three major categories of operators:</w:t>
        <w:br/>
        <w:t>- managers of congress-exhibition sites,</w:t>
        <w:br/>
        <w:t>- event organizers, and</w:t>
        <w:br/>
        <w:t>- providers of ancillary services.</w:t>
        <w:br/>
        <w:t>1. THE MARKET FOR THE MANAGEMENT OF CONGRESS-EXHIBITION SITES</w:t>
        <w:br/>
        <w:t>8. Site management consists of renting spaces to event organizers. The Minister of Economy considered three types of segmentation.</w:t>
        <w:br/>
        <w:t>a) Segmentation between sites capable of hosting fairs and exhibitions and sites capable of hosting congresses</w:t>
        <w:br/>
        <w:t>9. First, the Minister considered it relevant to distinguish the market for managing sites capable of hosting congresses from that of managing sites capable of hosting fairs and exhibitions.</w:t>
        <w:br/>
        <w:t>10. He noted in this regard that fairs and exhibitions have a different purpose than congresses. Fairs and exhibitions are defined as "commercial events constituted by the periodic gathering of exhibitors presenting samples of products or services to potential buyers or the public with the intention of making known their qualities and provoking orders." In contrast, a congress is "organized by a professional association, a scientific association, public authorities, or an international organization. It is non-commercial and aims to bring together participants from various backgrounds, who can meet and exchange information."</w:t>
        <w:br/>
        <w:t>11. Furthermore, the Minister noted that these two types of events require different technical equipment (congresses, exhibitions, colloquia, or conventions require auditoriums and meeting rooms, while fairs require large, more open exhibition halls, allowing for easy visitor circulation), which explains the relative specialization of sites in France for one or the other type of event.</w:t>
        <w:br/>
        <w:t>b) Market segmentation between sites hosting fairs and exhibitions for the general public and sites hosting professionals.</w:t>
      </w:r>
    </w:p>
    <w:p>
      <w:r>
        <w:rPr>
          <w:b/>
        </w:rPr>
        <w:t>[Pages 4–6]</w:t>
      </w:r>
    </w:p>
    <w:p>
      <w:r>
        <w:t xml:space="preserve">12. The Minister of Economy considered that a segmentation between sites capable of hosting fairs and exhibitions for the general public and sites capable of hosting professionals was not relevant, insofar as the technical characteristics required for both types of events are the same. He thus noted that in France, most sites host both professional and public exhibitions indiscriminately.  </w:t>
        <w:br/>
        <w:t xml:space="preserve">13. He noted that the only distinguishing factor between sites hosting public or mixed exhibitions and those hosting professional exhibitions concerned the accessibility constraints to the sites. Indeed, a site poorly served by urban transport will encounter difficulties in attracting the general public. A professional exhibition hosting exhibitors and visitors from all over France, and in some cases from all over Europe or the world, must be held at a site close to highway, rail, or airport infrastructures that allow for the influx of exhibitors and visitors and have sufficient hotel facilities to accommodate them. However, he noted the low substitutability between the sites of Paris Nord Villepinte (hereinafter "PNV") and Porte de Versailles in Paris (hereinafter "PDV") given their differentiated geographical locations (the PNV site, due to its geographical location and insufficient road and rail infrastructures, does not host public exhibitions, unlike the PDV site).  </w:t>
        <w:br/>
        <w:t xml:space="preserve">c) Segmentation of the market for the management of sites capable of hosting fairs and exhibitions based on the size of the sites  </w:t>
        <w:br/>
        <w:t xml:space="preserve">14. The Minister of Economy questioned the existence of a segmentation based on the size of the exhibitions, given that the large exhibitions of over 100,000 m² have no alternative in France other than the PDV site and the PNV site.  </w:t>
        <w:br/>
        <w:t xml:space="preserve">15. However, he noted that the exhibition areas of the different exhibitions revealed a continuum that was difficult to segment in a relevant manner. Moreover, there is no price differentiation between large and small exhibition areas or specific equipment for large or small exhibitions. The question was ultimately left open, as the specific constraints and characteristics of the PNV and PDV sites were taken into account in the competitive analysis.  </w:t>
        <w:br/>
        <w:t xml:space="preserve">16. There is no reason to challenge the findings made by the Minister of Economy for the analysis of the present operation.  </w:t>
        <w:br/>
        <w:t xml:space="preserve">17. In this case, CCIR, through its subsidiary Viparis, is active in the market for the management of sites capable of hosting congresses and in the market for the management of sites capable of hosting fairs and exhibitions. The market for the management of sites capable of hosting congresses will not be subject to a specific competitive analysis as Comexposium does not organize congresses.  </w:t>
        <w:br/>
        <w:t xml:space="preserve">2. THE MARKET FOR THE ORGANIZATION OF FAIRS AND EXHIBITIONS  </w:t>
        <w:br/>
        <w:t xml:space="preserve">18. The organization of events (fairs, exhibitions, congresses, expositions, seminars, conventions, etc.) connects learned societies, businesses, or professional federations and unions with specialists in the field of organization. There are three types of event organizers: ad hoc structures created at the initiative of unions or federations, generalist companies, professionals in organization or communication, often stemming from press groups or publishers, and finally, specialized organizing companies in a specific sector.  </w:t>
        <w:br/>
        <w:t xml:space="preserve">19. The Minister of Economy distinguished the market for the organization of fairs and exhibitions from the market for the organization of other events (congresses, expositions, seminars, or conventions). He noted that, from the demand side, fairs and exhibitions respond to the needs of a grouping of companies, possibly represented by a professional federation, while congresses meet the needs of a single organization such as a learned society, a public or semi-public body, a research center, or a specific company. From the supply side, the Minister observed that companies specialize in one or the other of the activities that require different know-how.  </w:t>
        <w:br/>
        <w:t xml:space="preserve">20. Finally, the Minister of Economy excluded certain additional segmentations of the market for the organization of fairs and exhibitions, whether (i) between the organization of fairs and the organization of exhibitions, (ii) based on the audience to which the fairs and exhibitions are addressed (general public or professional), and (iii) based on the size of the event.  </w:t>
        <w:br/>
        <w:t xml:space="preserve">21. There is no reason to challenge the market definition retained by the Minister of Economy in this case.  </w:t>
        <w:br/>
        <w:t xml:space="preserve">22. Only Comexposium is active in the market for the organization of fairs and exhibitions.  </w:t>
        <w:br/>
        <w:t xml:space="preserve">3. THE MARKET FOR ANCILLARY SERVICES  </w:t>
        <w:br/>
        <w:t xml:space="preserve">23. Service providers supply managers, organizers, or directly their clients with various services in the fields of signage, reception, design and installation of stands, security, catering, etc.  </w:t>
        <w:br/>
        <w:t xml:space="preserve">24. The Minister of Economy considered that it was appropriate to isolate ancillary services that are directly related to the site. This includes services that cannot be rendered without having a very good knowledge of the sites and an extensive right of access to them, or services whose execution engages the civil and criminal liability of the site operator. The latter can therefore legitimately require that they be carried out by himself or by companies he approves. Such services are then said to be "mandatory" if they are not divisible, or "exclusive" if their consumption is attributable to a particular exhibitor. These services may concern electrical and plumbing connections, rigging, signage, site security, and possibly cash management. These services directly related to the site's infrastructure therefore fall more under site management than under a market for ancillary services, being in reality complementary to the rental of space.  </w:t>
        <w:br/>
        <w:t xml:space="preserve">25. Regarding ancillary service provisions not directly related to the site, exhibitors can leverage competition between site managers, exhibition organizers if they offer these services, and specialized providers.  </w:t>
        <w:br/>
        <w:t xml:space="preserve">26. There is no reason to challenge the delimitations retained by the Minister of Economy for the purposes of this competitive analysis.  </w:t>
        <w:br/>
        <w:t xml:space="preserve">27. In this case, CCIR, through Viparis, and Comexposium are marginally active in the market for competitive ancillary services.  </w:t>
        <w:br/>
        <w:t xml:space="preserve">B. GEOGRAPHIC MARKETS  </w:t>
        <w:br/>
        <w:t xml:space="preserve">1. THE MARKET FOR THE MANAGEMENT OF FAIR AND EXHIBITION SITES  </w:t>
        <w:br/>
        <w:t xml:space="preserve">28. The Minister of Economy considered that sites hosting fairs and exhibitions for the general public had a local dimension, insofar as fairs are general events held most often annually and are strongly marked by territorial anchoring as they are associated with the name of a city. Therefore, competition between sites to host fairs can only be local. However, he noted that sites in the Paris region occupied a unique position, as they are the only ones capable of hosting the few national-scale public exhibitions.  </w:t>
        <w:br/>
        <w:t xml:space="preserve">29. Regarding fairs and exhibitions targeting a professional audience, the Minister of Economy considered that a national dimension should be retained, due to the most often national organization of professional sectors. He specified that given their requirements for space, access means, and accommodation capacities, professional exhibitions can, in practice, only be held at sites in the Paris region.  </w:t>
        <w:br/>
        <w:t xml:space="preserve">30. There is no reason to challenge this delimitation in this case.  </w:t>
        <w:br/>
        <w:t xml:space="preserve">2. THE MARKET FOR THE ORGANIZATION OF FAIRS AND EXHIBITIONS  </w:t>
        <w:br/>
        <w:t xml:space="preserve">31. The Minister of Economy noted that a national presence was essential to reach the professional organizations that are clients of fair and exhibition organizers. In this regard, it is appropriate to retain a national dimension for the market for the organization of fairs and exhibitions, even if foreign organizers exert potential competition on national players.  </w:t>
        <w:br/>
        <w:t xml:space="preserve">32. There is no reason to challenge this delimitation in this case.  </w:t>
        <w:br/>
        <w:t xml:space="preserve">3. THE MARKET FOR ANCILLARY SERVICES  </w:t>
        <w:br/>
        <w:t>33. The Minister of Economy left the question of the geographical delimitation of the market for ancillary services open. Since the activities of the parties in this market remain marginal, it is not necessary to resolve this question in this case.</w:t>
      </w:r>
    </w:p>
    <w:p>
      <w:r>
        <w:rPr>
          <w:b/>
        </w:rPr>
        <w:t>[Pages 7–9]</w:t>
      </w:r>
    </w:p>
    <w:p>
      <w:r>
        <w:t xml:space="preserve">III. Competitive Analysis  </w:t>
        <w:br/>
        <w:t xml:space="preserve">A. REMINDER OF THE ANALYSIS CONDUCTED BY THE MINISTER OF ECONOMY AND THE COMPETITION COUNCIL IN 2007  </w:t>
        <w:br/>
        <w:t xml:space="preserve">34. The Minister of Economy, following the opinion issued by the Competition Council, noted in 2007 that the joint control of Unibail and CCIR over Viparis and Comexposium raised competition concerns that needed to be addressed through commitments.  </w:t>
        <w:br/>
        <w:t xml:space="preserve">1. COMPETITION CONCERNS IDENTIFIED BY THE MINISTER OF ECONOMY IN HIS LETTER OF NOVEMBER 13, 2007  </w:t>
        <w:br/>
        <w:t xml:space="preserve">a) The market for the management of sites capable of hosting fairs and exhibitions  </w:t>
        <w:br/>
        <w:t xml:space="preserve">35. The Minister of Economy and the Council noted that the joint control of Unibail and CCIR over Viparis and Comexposium resulted in "the creation of a quasi-monopoly" in the market for the management of sites capable of hosting fairs and exhibitions (both public and professional), with market shares ranging from 90% to 100% depending on the type of measure analyzed. The market power of Viparis was further strengthened by the existence of "very high barriers to entry."  </w:t>
        <w:br/>
        <w:t xml:space="preserve">36. This "quasi-monopoly" was, according to the Minister, likely to lead to risks of price increases, an expansion of the scope of mandatory and exclusive ancillary services, a decrease in their quality, or an increase in their price. The Minister specified that these risks were identical for sites capable of hosting professionals and those capable of hosting the general public, despite different geographical dimensions. Indeed, he noted in this regard that sites in the Paris region are the only ones, with a few exceptions, capable of hosting professional exhibitions.  </w:t>
        <w:br/>
        <w:t xml:space="preserve">b) The market for the organization of fairs and exhibitions  </w:t>
        <w:br/>
        <w:t xml:space="preserve">37. The Minister of Economy noted that the joint control of Unibail and CCIR over Viparis and Comexposium would result in the creation of the market leader, with a combined market share of the parties between [20-30]% and [40-50]%. He also noted that the level of the competitive fringe should be relativized, as this market is characterized by significant specialization of operators and the existence of barriers to entry such as the difficulty of changing organizers, the necessity of specific know-how, and a branding strategy.  </w:t>
        <w:br/>
        <w:t xml:space="preserve">38. He considered that the risks to competition did not concern potential horizontal effects but were "more related to the vertical integration of the parties and the advantages they can derive from their monopoly in the market for the management of sites capable of hosting fairs and exhibitions in the Paris region." According to the Minister of Economy, the market power of the parties in these markets allowed them to:  </w:t>
        <w:br/>
        <w:t xml:space="preserve">- discriminate against their competitors in terms of rental prices or ancillary services, in the choice of venues, exhibition dates, or booking option schedules;  </w:t>
        <w:br/>
        <w:t xml:space="preserve">- benefit from strategic information to which the site manager has access to favor its fair and exhibition organizing branch;  </w:t>
        <w:br/>
        <w:t xml:space="preserve">- increase their purchasing power with respect to service providers that the parties call upon to carry out mandatory and exclusive services; and  </w:t>
        <w:br/>
        <w:t xml:space="preserve">- bundle mandatory services attached to the site's infrastructure with services that are usually competitive through bundling or a bundling discount.  </w:t>
        <w:br/>
        <w:t xml:space="preserve">c) The market for ancillary services  </w:t>
        <w:br/>
        <w:t xml:space="preserve">39. The Minister noted that the activities of the parties in the market for ancillary services were limited to marketing services provided by independent providers on their own sites. He concluded that the operation was not likely to harm competition through horizontal effects in this market.  </w:t>
        <w:br/>
        <w:t xml:space="preserve">2. COMMITMENTS MADE BY THE PARTIES IN THE CONTEXT OF THE PREVIOUS OPERATION  </w:t>
        <w:br/>
        <w:t xml:space="preserve">40. In order to address the competition concerns, Unibail and CCIR proposed a series of structural and behavioral commitments. These commitments, which are still in effect, are as follows:  </w:t>
        <w:br/>
        <w:t xml:space="preserve">- capacity extension: the parties committed to extend the PNV site by an area of 135,000 m² between 2010 and 2021;  </w:t>
        <w:br/>
        <w:t xml:space="preserve">- price regulation: the parties committed to limit the prices of rents and mandatory or exclusive ancillary services. The moderation of price changes is achieved through the use of indices to set ceilings on any price increases;  </w:t>
        <w:br/>
        <w:t xml:space="preserve">- non-discrimination in access to sites: the notifying parties committed to (i) limit the booking periods for exhibition spaces and make it impossible to book more than 24 months in advance and (ii) respect a hierarchy in the allocation of time slots with priority for so-called "pivot" exhibitions, granting other exhibitions a "grandfather clause" guaranteeing continuity in access to exhibition sites and compliance with a certain number of criteria for the acceptance of new exhibitions;  </w:t>
        <w:br/>
        <w:t xml:space="preserve">- breathing space in the market for organization: the parties committed to limit their relative share in the occupation of their own sites by their own exhibitions, this share not exceeding [40-50]%; and  </w:t>
        <w:br/>
        <w:t>- ancillary services: the parties committed not to bundle mandatory and exclusive ancillary services with competitive services.</w:t>
      </w:r>
    </w:p>
    <w:p>
      <w:r>
        <w:t xml:space="preserve">B. THE PRESENT OPERATION  </w:t>
        <w:br/>
        <w:t xml:space="preserve">1. COMPETITIVE ANALYSIS OF THE PRESENT OPERATION  </w:t>
        <w:br/>
        <w:t xml:space="preserve">a) Analysis of horizontal effects  </w:t>
        <w:br/>
        <w:t xml:space="preserve">41. The present operation has no impact on the analysis conducted by the Minister of Economy regarding horizontal effects in the market for the management of sites hosting fairs and exhibitions. Indeed, Viparis, which is active in this market, will remain jointly controlled by Unibail and CCIR following the present operation. Furthermore, the notifying parties indicate that the market share of Viparis remains approximately [90-100]% in the market for the management of sites hosting fairs and exhibitions. Therefore, there is no need to revisit the analysis of horizontal effects in the market for fairs and exhibitions that was conducted in the letter of November 13, 2007.  </w:t>
        <w:br/>
        <w:t xml:space="preserve">42. Moreover, the parties are, as in 2007, marginally present in the market for ancillary services as the combined revenue represented less than [0-5]% of the Île-de-France market.  </w:t>
        <w:br/>
        <w:t xml:space="preserve">b) Analysis of vertical effects  </w:t>
        <w:br/>
        <w:t xml:space="preserve">43. Regarding the analysis of the vertical effects of the 2007 operation, the notifying party indicates that the present operation will end the vertical integration targeted in the Minister's decision as Unibail will no longer control Comexposium following the concentration. It adds that "Viparis and Comexposium will therefore no longer be under common control and their interests will no longer be aligned. The Proposed Operation thus has a pro-competitive effect."  </w:t>
        <w:br/>
        <w:t xml:space="preserve">44. It is accurate to note that the present operation will result in unwinding the existing capital relationships between Comexposium and Unibail. However, contrary to what the notifying party claims, it will not lead to the end of all vertical integration between the site management activity and the organization of fairs and exhibitions. Indeed, following the present operation, CCIR will retain joint control of Comexposium, alongside Watling Street, and of Viparis, alongside Unibail, primarily through its veto rights over strategic decisions. Therefore, a vertical link will be maintained between the two activities due to CCIR's presence in the control chain of Comexposium and Viparis.  </w:t>
        <w:br/>
        <w:t xml:space="preserve">45. Finally, the notifying parties specify that Comexposium's market share in the market for the organization of fairs and exhibitions has not significantly decreased since the 2007 operation, this market share having been estimated at the time to be between [20-30]% and [40-50]% by the Minister of Economy and the Competition Council.  </w:t>
        <w:br/>
        <w:t>46. Therefore, the analysis conducted by the Minister of Economy and the Competition Council in 2007, which identified the existence of risks of harm to competition through vertical effects between the upstream market for site management and the downstream market for organization, remains relevant.</w:t>
      </w:r>
    </w:p>
    <w:p>
      <w:r>
        <w:rPr>
          <w:b/>
        </w:rPr>
        <w:t>[Pages 10–10]</w:t>
      </w:r>
    </w:p>
    <w:p>
      <w:r>
        <w:t>2. CONSEQUENCES ON THE COMMITMENTS MADE IN 2007</w:t>
        <w:br/>
        <w:t>47. With the exception of the market breathing commitment regarding organization, the letter from the Minister of Economy requires that all commitments made "shall remain in effect as long as one of the notifying parties holds the concession for the Exhibition Park of Porte de Versailles (the current occupancy agreement expiring on December 31, 2026), unless the operation subject to this decision is completely unwound." The Minister's decision adds that "the commitments will end with the quasi-monopoly situation of the new entity in terms of site management."</w:t>
      </w:r>
    </w:p>
    <w:p>
      <w:r>
        <w:t>48. However, the present operation does not lead to the complete unwinding of the 2007 operation, as CCIR and Unibail still exercise joint control over Viparis, which retains its market power in the upstream market of site management.</w:t>
      </w:r>
    </w:p>
    <w:p>
      <w:r>
        <w:t>49. Regarding the market breathing commitment for organization, the Minister's letter indicates that "this commitment becomes void in the event that the group formed by the Parties no longer holds the majority of the capital of OpCo [Comexposium] and no longer holds a decisive influence in OpCo [Comexposium]."</w:t>
      </w:r>
    </w:p>
    <w:p>
      <w:r>
        <w:t>50. This commitment, which frames the site management activity of Viparis, aims to limit the development of Comexposium in the downstream markets of organization and ancillary services in order to prevent competition from being distorted in these markets by the market power held upstream. However, as indicated above, the present operation is not of a nature to eliminate the risks of harm to competition in the downstream markets through the vertical effects identified by the Minister of Economy and the Competition Authority. Furthermore, CCIR will retain a decisive influence in Comexposium following the operation.</w:t>
      </w:r>
    </w:p>
    <w:p>
      <w:r>
        <w:t>51. Therefore, the present operation is not of a nature to call into question the commitments made by CCIR and Unibail in the context of the 2007 operation.</w:t>
        <w:br/>
        <w:t>DECIDES</w:t>
        <w:br/>
        <w:t>Sole Article: The operation notified under number 15-074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