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https://www.autoritedelaconcurrence.fr/fr/decision-de-controle-des-concentrations/relative-la-prise-de-controle-conjoint-de-compagnie-des</w:t>
      </w:r>
    </w:p>
    <w:p>
      <w:r>
        <w:t>Pages translated : 4</w:t>
      </w:r>
    </w:p>
    <w:p/>
    <w:p>
      <w:r>
        <w:rPr>
          <w:b/>
        </w:rPr>
        <w:t>[Pages 1–3]</w:t>
      </w:r>
    </w:p>
    <w:p>
      <w:r>
        <w:t>FRENCH TEXT:</w:t>
        <w:br/>
        <w:t>RÉPUBLIQUE FRANÇAISE</w:t>
        <w:br/>
        <w:t>Décision n° 13-DCC-182 du 13 décembre 2013</w:t>
        <w:br/>
        <w:t>relative à la prise de contrôle conjoint de Compagnie des Minquiers</w:t>
        <w:br/>
        <w:t>par MBO Partenaires et Société Générale Capital Partenaires</w:t>
        <w:br/>
        <w:t>L’Autorité de la concurrence,</w:t>
        <w:br/>
        <w:t>Vu le dossier de notification adressé complet au service des concentrations le 22 novembre</w:t>
        <w:br/>
        <w:t>2013, relatif à la prise de contrôle conjoint de Compagnie des Minquiers SAS par MBO</w:t>
        <w:br/>
        <w:t>Partenaires et Société Générale Capital Partenaires, formalisée par un protocole d’acquisition</w:t>
        <w:br/>
        <w:t>en date du 31 octobre 2013 ;</w:t>
        <w:br/>
        <w:t>Vu le livre IV du code de commerce relatif à la liberté des prix et de la concurrence, et</w:t>
        <w:br/>
        <w:t>notamment ses articles L. 430-1 à L. 430-7 ;</w:t>
        <w:br/>
        <w:t>Adopte la décision suivante :</w:t>
        <w:br/>
        <w:t>I. Les entreprises concernées et l’opération</w:t>
        <w:br/>
        <w:t>1. MBO Partenaires est une société de gestion détenue par neuf associés personnes physiques,</w:t>
        <w:br/>
        <w:t>dont aucun ne possède plus de 15 % du capital. MBO Partenaires gère trois fonds communs</w:t>
        <w:br/>
        <w:t>de placement à risques, qui détiennent des participations dans divers secteurs d’activité,</w:t>
        <w:br/>
        <w:t>comme l’édition, le transport et la logistique, la fabrication d’éléments de construction, le</w:t>
        <w:br/>
        <w:t>courtage en assurance, etc. Les fonds gérés par MBO Partenaires détiennent notamment la</w:t>
        <w:br/>
        <w:t>majorité du capital de la société Compagnie Européenne de Charcuterie Pâtissière CECHEP,</w:t>
        <w:br/>
        <w:t>active dans la fabrication et la commercialisation de produits traiteurs frais.</w:t>
        <w:br/>
        <w:t>2. Société Générale Capital Partenaires (ci-après « SCGP ») est une société par actions</w:t>
        <w:br/>
        <w:t>simplifiée contrôlée à 100 % par le groupe bancaire Société Générale, actif dans les métiers</w:t>
        <w:br/>
        <w:t>de la banque, des services financiers et de l’assurance. SCGP investit dans divers secteurs</w:t>
        <w:br/>
        <w:t>d’activité et détient des participations minoritaires dans des sociétés relevant de secteurs</w:t>
        <w:br/>
        <w:t>d’activité divers tels que la fabrication d’équipements industriels, le pavoisement publicitaire</w:t>
        <w:br/>
        <w:t>et la conception de solutions d’identification et de traçabilité.</w:t>
        <w:br/>
        <w:t>3. Compagnie des Minquiers (ci-après « CDM ») est une société par actions simplifiée, dont la</w:t>
        <w:br/>
        <w:t>majorité du capital est détenu par la société Boussard &amp; Gavaudan Holding Limited. CDM est</w:t>
        <w:br/>
        <w:t>à la tête du groupe Cofigeo, spécialisé dans la fabrication et la commercialisation de plats</w:t>
        <w:br/>
        <w:t>cuisinés appertisés (« PCA »), sauces et conserves de viande à travers plusieurs filiales. Ses</w:t>
        <w:br/>
        <w:t>produits sont commercialisés sous marques de distributeurs (« MDD ») et deux principales</w:t>
        <w:br/>
        <w:t>marques propres (Raynal et Roquelaure et Zapetti).</w:t>
      </w:r>
    </w:p>
    <w:p>
      <w:r>
        <w:t>4. L’opération notifiée, formalisée par un protocole d’acquisition en date du 31 octobre 2013,</w:t>
        <w:br/>
        <w:t>consiste en l’acquisition de l’intégralité du capital social et des droits de vote de CDM par une</w:t>
        <w:br/>
        <w:t>holding d’acquisition dénommée « Financière Cofigeo », dont les sociétés MBO Partenaires</w:t>
        <w:br/>
        <w:t>et SGCP (ci après ensemble, le « Partenaire Financier ») détiendront environ 45,8 % du</w:t>
        <w:br/>
        <w:t>capital, le solde étant détenu par d’autres investisseurs et plusieurs cadres du groupe Cofigeo.</w:t>
        <w:br/>
        <w:t>Aux termes d’un projet de pacte d’associés, le Partenaire Financier, qui détiendra la moitié</w:t>
        <w:br/>
        <w:t>des voix au conseil de surveillance de Financière Cofigeo ainsi qu’une voix prépondérante en</w:t>
        <w:br/>
        <w:t>cas de partage, disposera d’un veto sur les décisions stratégiques de la société.</w:t>
        <w:br/>
        <w:t>5. En ce qu’elle se traduit par la prise de contrôle conjoint de CDM par MBO Partenaires et</w:t>
        <w:br/>
        <w:t>SGCP, l’opération notifiée constitue une opération de concentration au sens de l’article</w:t>
        <w:br/>
        <w:t>L. 430-1 du code de commerce.</w:t>
        <w:br/>
        <w:t>6. Les entreprises concernées réalisent ensemble, un chiffre d’affaires mondial total de plus de</w:t>
        <w:br/>
        <w:t>150 millions d’euros (MBO : […] d’euros pour l’exercice clos le 30 juin 2013 ; groupe</w:t>
        <w:br/>
        <w:t>Société Générale : […] d’euros pour l’exercice clos le 31 décembre 2012 ; CDM : […]</w:t>
        <w:br/>
        <w:t>d’euros pour l’exercice clos le 31 décembre 2012). Chacune réalise en France un chiffre</w:t>
        <w:br/>
        <w:t>d’affaires supérieur à 50 millions d’euros (MBO : […] d’euros pour l’exercice clos le 30 juin</w:t>
        <w:br/>
        <w:t>2013, groupe Société Générale : […] d’euros pour l’exercice clos le 31 décembre 2012 ;</w:t>
        <w:br/>
        <w:t>CDM : […] d’euros pour l’exercice clos le 31 décembre 2012). Compte tenu de ces chiffres</w:t>
        <w:br/>
        <w:t>d’affaires, l’opération ne revêt pas une dimension communautaire. En revanche, les seuils de</w:t>
        <w:br/>
        <w:t>contrôle mentionnés par l’article L 430-2 du code de commerce sont franchis. La présente</w:t>
        <w:br/>
        <w:t>opération est donc soumise aux dispositions des articles L430-3 et suivants du code de</w:t>
        <w:br/>
        <w:t>commerce relatifs à la concentration économique.</w:t>
        <w:br/>
        <w:t>II. Délimitation des marchés pertinents</w:t>
        <w:br/>
        <w:t>7. Le groupe Cofigeo est actif dans la fabrication et la commercialisation de PCA, sauces et</w:t>
        <w:br/>
        <w:t>conserves de viande. MBO opère, pour sa part, dans la production et la commercialisation de</w:t>
        <w:br/>
        <w:t>pâté en croûte, sandwichs et produits de traiteur/snacks par le biais de la société CECHEP.</w:t>
        <w:br/>
        <w:t>Les parties sont donc simultanément actives dans le secteur des produits traiteurs.</w:t>
        <w:br/>
        <w:t>8. La pratique décisionnelle tant européenne que nationale a segmenté les marchés en fonction</w:t>
        <w:br/>
        <w:t>de la technologie de fabrication employée (produits appertisés, surgelés et frais). Une</w:t>
        <w:br/>
        <w:t>distinction a également été faite entre les canaux de distribution (grandes et moyennes</w:t>
        <w:br/>
        <w:t>surfaces (ci-après « GMS »), restauration hors foyer (ci-après « RHF ») et industries agro-</w:t>
        <w:br/>
        <w:t>alimentaires). Une distinction additionnelle a ensuite été opérée en fonction des catégories de</w:t>
        <w:br/>
        <w:t>produits (entrées, plats, tartes salées, pâtes ménagères, pâtes et sauces, salades, panés, snacks</w:t>
        <w:br/>
        <w:t>et autres). Enfin, la question a aussi été soulevée de l’éventuelle subdivision de ces marchés</w:t>
        <w:br/>
        <w:t>en fonction de leur positionnement commercial (marques de fabricants (ci-après « MDF ») ou</w:t>
        <w:br/>
        <w:t>marques de distributeurs (ci-après « MDD »)), des modes de distribution (libre service ou à la</w:t>
        <w:br/>
        <w:t>coupe) et de l’origine des recettes proposées (traditionnelles, régionales, étrangères,</w:t>
        <w:br/>
        <w:t>exotiques, etc.).</w:t>
        <w:br/>
        <w:t>1 Voir par exemple la décision de l’Autorité de la concurrence n° 09-DCC-48 du 22 septembre 2009 relative à l’acquisition par la société</w:t>
        <w:br/>
        <w:t>LDC Traiteur de la société Marie.</w:t>
        <w:br/>
        <w:t>2 Id.</w:t>
      </w:r>
    </w:p>
    <w:p>
      <w:r>
        <w:t>9. La question de la délimitation exacte de ces marchés peut être laissée ouverte dans la mesure</w:t>
        <w:br/>
        <w:t>où, quelle que soit la segmentation retenue, les conclusions de l’analyse concurrentielle</w:t>
        <w:br/>
        <w:t>resteront inchangées.</w:t>
        <w:br/>
        <w:t>10. S’agissant de la dimension géographique, les autorités de concurrence ont constaté à diverses</w:t>
        <w:br/>
        <w:t>reprises la dimension nationale des marchés des produits traiteur. En effet, les préférences, les</w:t>
        <w:br/>
        <w:t>goûts et les habitudes de consommation diffèrent fortement d’un pays à l’autre et les échanges</w:t>
        <w:br/>
        <w:t>intra-européens de ces produits restent limités. Il n’y a pas lieu de remettre en cause cette</w:t>
        <w:br/>
        <w:t>délimitation à l’occasion de l’examen de la présente opération.</w:t>
        <w:br/>
        <w:t>11. Au cas d’espèce, le groupe Cofigeo commercialise au titre de cette activité des PCA aux GMS</w:t>
        <w:br/>
        <w:t>sous MDF (les marques Zapetti ainsi que Raynal et Roquelaure) et sous MDD. De son côté,</w:t>
        <w:br/>
        <w:t>MBO Partenaires, via CECHEP, commercialise des produits frais sous MDD inclus dans la</w:t>
        <w:br/>
        <w:t>catégorie des snacks.</w:t>
        <w:br/>
        <w:t>III. Analyse concurrentielle</w:t>
        <w:br/>
        <w:t>12. MBO Partenaires, ses fonds et le groupe Société générale ne contrôlent aucune activité</w:t>
        <w:br/>
        <w:t>présente sur les mêmes marchés que ceux sur lesquels opère le groupe Cofigeo. En particulier,</w:t>
        <w:br/>
        <w:t>le groupe Cofigeo et CECHEP sont actifs sur des marchés distincts, la cible produisant des</w:t>
        <w:br/>
        <w:t>produits appertisés et CECHEP des produits frais. L’opération n’entraîne donc pas de</w:t>
        <w:br/>
        <w:t>chevauchement horizontal.</w:t>
        <w:br/>
        <w:t>13. En revanche, les activités de CECHEP et du groupe Cofigeo présentent un lien de connexité,</w:t>
        <w:br/>
        <w:t>relevant du même secteur et s’adressant à la même clientèle.</w:t>
        <w:br/>
        <w:t>14. Une concentration conglomérale peut restreindre la concurrence lorsqu’elle permet à</w:t>
        <w:br/>
        <w:t>l’entreprise issue de l’opération, bénéficiant d’une position forte sur un marché, de verrouiller</w:t>
        <w:br/>
        <w:t>l’accès à un ou plusieurs marchés connexes en exploitant un effet de levier. La pratique</w:t>
        <w:br/>
        <w:t>décisionnelle des autorités de la concurrence écarte toutefois en principe ces risques de</w:t>
        <w:br/>
        <w:t>verrouillage lorsque la part de l’entreprise issue de l’opération sur les marchés concernés ne</w:t>
        <w:br/>
        <w:t>dépasse pas 30 %.</w:t>
        <w:br/>
        <w:t>15. En l’espèce, les parties notifiantes n’ont pas été en mesure de fournir une estimation des parts</w:t>
        <w:br/>
        <w:t>de marché de CECHEP sur le marché des produits traiteur frais, ni sur les différentes</w:t>
        <w:br/>
        <w:t>segmentations retenues ou envisagées par la pratique décisionnelle. Toutefois, elles</w:t>
        <w:br/>
        <w:t>produisent une estimation des parts de marché pour les produits que CECHEP commercialise,</w:t>
        <w:br/>
        <w:t>à savoir les ventes de croque-monsieur et sandwichs en GMS. Selon ces estimations,</w:t>
        <w:br/>
        <w:t>CECHEP représente, en volume, 11 % de la vente de croque-monsieur en GMS et de 21 % de</w:t>
        <w:br/>
        <w:t>la vente de sandwich en GMS.</w:t>
      </w:r>
    </w:p>
    <w:p>
      <w:r>
        <w:t>ENGLISH TRANSLATION:</w:t>
        <w:br/>
        <w:t>FRENCH REPUBLIC</w:t>
        <w:br/>
        <w:t>Decision No. 13-DCC-182 of December 13, 2013</w:t>
        <w:br/>
        <w:t>regarding the joint control of Compagnie des Minquiers</w:t>
        <w:br/>
        <w:t>by MBO Partenaires and Société Générale Capital Partenaires</w:t>
        <w:br/>
        <w:t>The Competition Authority,</w:t>
        <w:br/>
        <w:t>Having regard to the notification file submitted in full to the merger service on November 22, 2013, regarding the joint control of Compagnie des Minquiers SAS by MBO Partenaires and Société Générale Capital Partenaires, formalized by an acquisition protocol dated October 31, 2013;</w:t>
        <w:br/>
        <w:t>Having regard to Book IV of the Commercial Code relating to the freedom of prices and competition, and in particular its Articles L. 430-1 to L. 430-7;</w:t>
        <w:br/>
        <w:t>Adopts the following decision:</w:t>
        <w:br/>
        <w:t>I. The concerned companies and the operation</w:t>
        <w:br/>
        <w:t>1. MBO Partenaires is a management company owned by nine individual partners, none of whom holds more than 15% of the capital. MBO Partenaires manages three venture capital funds, which hold stakes in various sectors of activity, such as publishing, transport and logistics, the manufacture of construction elements, insurance brokerage, etc. The funds managed by MBO Partenaires notably hold the majority of the capital of the company Compagnie Européenne de Charcuterie Pâtissière CECHEP, active in the manufacture and marketing of fresh prepared food products.</w:t>
        <w:br/>
        <w:t>2. Société Générale Capital Partenaires (hereinafter "SCGP") is a simplified joint-stock company wholly controlled by the banking group Société Générale, active in the fields of banking, financial services, and insurance. SCGP invests in various sectors and holds minority stakes in companies in diverse sectors such as the manufacture of industrial equipment, advertising decoration, and the design of identification and traceability solutions.</w:t>
        <w:br/>
        <w:t>3. Compagnie des Minquiers (hereinafter "CDM") is a simplified joint-stock company, the majority of whose capital is held by Boussard &amp; Gavaudan Holding Limited. CDM heads the Cofigeo group, specialized in the manufacture and marketing of canned prepared dishes ("PCA"), sauces, and meat preserves through several subsidiaries. Its products are marketed under private labels ("MDD") and two main proprietary brands (Raynal and Roquelaure and Zapetti).</w:t>
      </w:r>
    </w:p>
    <w:p>
      <w:r>
        <w:t>4. The notified transaction, formalized by an acquisition protocol dated October 31, 2013, involves the acquisition of the entire share capital and voting rights of CDM by an acquisition holding company named "Financière Cofigeo," in which the companies MBO Partenaires and SGCP (hereinafter collectively referred to as the "Financial Partner") will hold approximately 45.8% of the capital, with the remainder held by other investors and several executives of the Cofigeo group. Under the terms of a draft shareholders' agreement, the Financial Partner, which will hold half of the votes on the supervisory board of Financière Cofigeo as well as a casting vote in the event of a tie, will have a veto over the company's strategic decisions.</w:t>
        <w:br/>
        <w:t>5. As it results in the joint control of CDM by MBO Partenaires and SGCP, the notified transaction constitutes a concentration operation within the meaning of Article L. 430-1 of the Commercial Code.</w:t>
        <w:br/>
        <w:t>6. The concerned companies together achieve a total worldwide turnover of more than 150 million euros (MBO: […] euros for the fiscal year ending June 30, 2013; Société Générale group: […] euros for the fiscal year ending December 31, 2012; CDM: […] euros for the fiscal year ending December 31, 2012). Each achieves a turnover in France exceeding 50 million euros (MBO: […] euros for the fiscal year ending June 30, 2013; Société Générale group: […] euros for the fiscal year ending December 31, 2012; CDM: […] euros for the fiscal year ending December 31, 2012). Given these turnover figures, the operation does not have a community dimension. However, the control thresholds mentioned in Article L 430-2 of the Commercial Code are exceeded. The present operation is therefore subject to the provisions of Articles L430-3 and following of the Commercial Code relating to economic concentration.</w:t>
        <w:br/>
        <w:t>II. Delimitation of the relevant markets</w:t>
        <w:br/>
        <w:t>7. The Cofigeo group is active in the manufacture and marketing of PCA, sauces, and meat preserves. MBO operates, for its part, in the production and marketing of pâté en croûte, sandwiches, and catering/snack products through the company CECHEP. The parties are therefore simultaneously active in the catering products sector.</w:t>
        <w:br/>
        <w:t>8. The decision-making practice, both European and national, has segmented the markets based on the manufacturing technology used (canned, frozen, and fresh products). A distinction has also been made between distribution channels (large and medium-sized stores (hereinafter "GMS"), out-of-home catering (hereinafter "RHF"), and agri-food industries). An additional distinction has then been made based on product categories (appetizers, dishes, savory pies, household pasta, pasta and sauces, salads, breaded products, snacks, and others). Finally, the question has also been raised regarding the possible subdivision of these markets based on their commercial positioning (manufacturer brands (hereinafter "MDF") or private labels (hereinafter "MDD")), modes of distribution (self-service or cut-to-order), and the origin of the proposed recipes (traditional, regional, foreign, exotic, etc.).</w:t>
        <w:br/>
        <w:t>1 See for example the decision of the Competition Authority No. 09-DCC-48 of September 22, 2009, regarding the acquisition by LDC Traiteur of the company Marie.</w:t>
        <w:br/>
        <w:t>2 Id.</w:t>
      </w:r>
    </w:p>
    <w:p>
      <w:r>
        <w:t>9. The question of the exact delineation of these markets can be left open insofar as, regardless of the segmentation adopted, the conclusions of the competitive analysis will remain unchanged.</w:t>
        <w:br/>
        <w:t>10. Regarding the geographical dimension, competition authorities have repeatedly noted the national dimension of the markets for catering products. Indeed, preferences, tastes, and consumption habits differ significantly from one country to another, and intra-European trade of these products remains limited. There is no reason to challenge this delineation in the context of examining the present operation.</w:t>
        <w:br/>
        <w:t>11. In the case at hand, the Cofigeo group markets PCA to GMS under MDF (the brands Zapetti as well as Raynal and Roquelaure) and under MDD. For its part, MBO Partenaires, via CECHEP, markets fresh products under MDD included in the snack category.</w:t>
        <w:br/>
        <w:t>III. Competitive analysis</w:t>
        <w:br/>
        <w:t>12. MBO Partenaires, its funds, and the Société Générale group do not control any activity present in the same markets as those in which the Cofigeo group operates. In particular, the Cofigeo group and CECHEP are active in distinct markets, with the target producing canned products and CECHEP producing fresh products. The operation therefore does not result in horizontal overlap.</w:t>
        <w:br/>
        <w:t>13. On the other hand, the activities of CECHEP and the Cofigeo group present a connection, falling within the same sector and addressing the same clientele.</w:t>
        <w:br/>
        <w:t>14. A conglomerate concentration can restrict competition when it allows the company resulting from the operation, benefiting from a strong position in one market, to lock access to one or more related markets by exploiting a leverage effect. However, the decision-making practice of competition authorities generally excludes these lock-in risks when the market share of the company resulting from the operation in the relevant markets does not exceed 30%.</w:t>
        <w:br/>
        <w:t>15. In this case, the notifying parties were unable to provide an estimate of CECHEP's market shares in the fresh catering products market, nor on the different segmentations adopted or considered by the decision-making practice. However, they provide an estimate of the market shares for the products that CECHEP markets, namely sales of croque-monsieur and sandwiches in GMS. According to these estimates, CECHEP represents, in volume, 11% of croque-monsieur sales in GMS and 21% of sandwich sales in GMS.</w:t>
      </w:r>
    </w:p>
    <w:p>
      <w:r>
        <w:rPr>
          <w:b/>
        </w:rPr>
        <w:t>[Pages 4–4]</w:t>
      </w:r>
    </w:p>
    <w:p>
      <w:r>
        <w:t xml:space="preserve">16. In the same manner, the parties estimate that the Cofigeo group holds the following market shares:  </w:t>
        <w:br/>
        <w:t xml:space="preserve">PCA, of which: MDF MDD  </w:t>
        <w:br/>
        <w:t xml:space="preserve">- Italian prepared dishes 38% 9%  </w:t>
        <w:br/>
        <w:t xml:space="preserve">- French prepared dishes 14% 3%  </w:t>
        <w:br/>
        <w:t>- Exotic prepared dishes 18% 7%</w:t>
      </w:r>
    </w:p>
    <w:p>
      <w:r>
        <w:t>17. The market shares of the parties therefore remain below 30%, with the exception of the Italian-origin PCA activity marketed by the Cofigeo group under MDF. However, the parties emphasize that the products of the Cofigeo group are marketed in the savory grocery aisles, while the products of CECHEP are marketed in the fresh catering section of GMS. These products are thus marketed to distinct buyers within GMS and rely on different logistical channels. Furthermore, these products cannot be marketed together at the retail level.</w:t>
      </w:r>
    </w:p>
    <w:p>
      <w:r>
        <w:t>18. Moreover, CECHEP markets its products under private labels, within the framework of purchasing procedures and specifications defined by GMS. The new entity would therefore not be able to use its market position regarding PCA under MDF to favor the sales of fresh catering products under private labels of CECHEP through coupling practices.</w:t>
      </w:r>
    </w:p>
    <w:p>
      <w:r>
        <w:t xml:space="preserve">19. In light of the above, the operation is therefore not likely to harm competition.  </w:t>
        <w:br/>
        <w:t xml:space="preserve">DECIDES  </w:t>
        <w:br/>
        <w:t xml:space="preserve">Sole Article: The notified operation under number 13-204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