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https://www.autoritedelaconcurrence.fr/fr/decision-de-controle-des-concentrations/relative-la-prise-de-controle-conjoint-de-deux-fonds-de-0</w:t>
      </w:r>
    </w:p>
    <w:p>
      <w:r>
        <w:t>Pages translated : 2</w:t>
      </w:r>
    </w:p>
    <w:p/>
    <w:p>
      <w:r>
        <w:rPr>
          <w:b/>
        </w:rPr>
        <w:t>[Pages 1–2]</w:t>
      </w:r>
    </w:p>
    <w:p>
      <w:r>
        <w:t xml:space="preserve">FRENCH REPUBLIC  </w:t>
        <w:br/>
        <w:t xml:space="preserve">Decision No. 18-DCC-180 of October 30, 2018  </w:t>
        <w:br/>
        <w:t xml:space="preserve">regarding the joint control acquisition of two retail businesses with a predominant food focus by the Carrefour group and the Benharrouche family  </w:t>
        <w:br/>
        <w:t xml:space="preserve">The Competition Authority,  </w:t>
        <w:br/>
        <w:t xml:space="preserve">Having regard to the complete notification file sent to the mergers department on September 27, 2018, concerning the joint control acquisition of two retail businesses with a predominant food focus by the Carrefour group and the Benharrouche family, materialized by a transactional protocol dated January 8, 2018, and three amendments signed on March 20, 2018, May 4, 2018, and September 14, 2018;  </w:t>
        <w:br/>
        <w:t xml:space="preserve">Having regard to Book IV of the Commercial Code relating to the freedom of prices and competition, and in particular its Articles L. 430-1 to L. 430-7;  </w:t>
        <w:br/>
        <w:t xml:space="preserve">Having regard to the elements submitted during the investigation by the notifying party;  </w:t>
        <w:br/>
        <w:t xml:space="preserve">Adopts the following decision:  </w:t>
        <w:br/>
        <w:t xml:space="preserve">1. The notified operation consists of the joint control acquisition by the Carrefour group and the Benharrouche family of two retail businesses with a predominant food focus, with respective areas of 654 m² and 780 m², under the Carrefour City brand, which are located respectively in Paris 5 and Paris 9.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18-221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