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https://www.autoritedelaconcurrence.fr/fr/decision-de-controle-des-concentrations/relative-la-prise-de-controle-conjoint-de-deux-fonds-de-4</w:t>
      </w:r>
    </w:p>
    <w:p>
      <w:r>
        <w:t>Pages translated : 9</w:t>
      </w:r>
    </w:p>
    <w:p/>
    <w:p>
      <w:r>
        <w:rPr>
          <w:b/>
        </w:rPr>
        <w:t>[Pages 1–3]</w:t>
      </w:r>
    </w:p>
    <w:p>
      <w:r>
        <w:t>FRENCH REPUBLIC</w:t>
        <w:br/>
        <w:t>Decision No. 26-DCC-57 of February 20, 2026</w:t>
        <w:br/>
        <w:t>regarding the joint control of two food distribution business assets by Hayandis alongside</w:t>
        <w:br/>
        <w:t>the Association of E. Leclerc Distributor Centers</w:t>
        <w:br/>
        <w:t>The Competition Authority,</w:t>
        <w:br/>
        <w:t>Having regard to the notification file submitted in full to the concentrations service</w:t>
        <w:br/>
        <w:t>on January 21, 2026, concerning the joint control of two food distribution business assets by Hayandis alongside the Association of E. Leclerc Distributor Centers, formalized by a purchase promise signed on July 4, 2025, between the Colruyt group and several operating companies of SCA Leclerc, supplemented by a letter dated November 18, 2025, allowing the substitution of Hayandis for the operating company of Scapest;</w:t>
        <w:br/>
        <w:t>Having regard to Book IV of the Commercial Code relating to price and competition freedom, and in particular its Articles L. 430-1 to L. 430-7;</w:t>
        <w:br/>
        <w:t>Having regard to the other documents in the file;</w:t>
        <w:br/>
        <w:t>Adopts the following decision:</w:t>
      </w:r>
    </w:p>
    <w:p>
      <w:r>
        <w:t>I. The Companies Involved and the Operation</w:t>
        <w:br/>
        <w:t>1. The Association of E. Leclerc Distributor Centers (hereinafter, the "ACDLec") is the body that defines the strategy of the E. Leclerc movement, to which all individuals managing E. Leclerc store operating companies are members. The ACDLec notably determines the conditions for approval to the E. Leclerc movement and signs the so-called "signboard" contracts that E. Leclerc retail store operators must hold.</w:t>
        <w:br/>
        <w:t>2. The company Hayandis is a simplified joint-stock company, controlled by the Lefeuvre group, which already operates supermarkets in Hayange (57) and Rombas (57), as well as a hypermarket in Fameck (57), under the E. Leclerc brand.</w:t>
        <w:br/>
        <w:t>3. The two target business assets are supermarket-type business assets, located in Serémange-Erzange (57) and Moyeuvre-Grande (57), with respective areas of 994 and 997 m², operated under the Colruyt brand prior to the operation.</w:t>
        <w:br/>
        <w:t>4. The operation is part of the acquisition, by various members of the Leclerc movement, of 14 Colruyt stores.</w:t>
        <w:br/>
        <w:t>5. It follows from the decision-making practice of the Competition Authority that "the obligations that the ACDLec imposes on the operating companies of E. Leclerc stores [...] allow it to exert a decisive influence on them." In accordance with the decision-making practice of the Authority, the present operation therefore leads to a joint control of the two target business assets by Hayandis, alongside the ACDLec, and thus constitutes a concentration under Article L. 430-1 of the Commercial Code.</w:t>
        <w:br/>
        <w:t>6. The companies involved together achieve a total worldwide turnover excluding taxes of more than 75 million euros (ACDLec: &gt; 30 billion euros for the fiscal year ending December 31, 2024; Lefeuvre group: [≥ 75] million euros for the fiscal year ending January 31, 2025; the target business assets: [≤ 75] million euros for the fiscal year ending December 31, 2024). Two of these companies have achieved in France a turnover excluding taxes exceeding 15 million euros (ACDLec: &gt; 30 billion euros for the fiscal year ending December 31, 2024; Lefeuvre group: [≥ 15] million euros for the fiscal year ending January 31, 2025). Given these turnover figures,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w:t>
        <w:br/>
        <w:t>1 See, in this sense, point 4 of Decision No. 25-DCC-124 of June 13, 2025, regarding the joint control of food retail business assets and fuel distribution by Brest Eurodis alongside the Association of E. Leclerc Distributor Centers.</w:t>
      </w:r>
    </w:p>
    <w:p>
      <w:r>
        <w:t>II. Definition of Relevant Markets</w:t>
        <w:br/>
        <w:t>7. The parties are primarily and simultaneously present in the markets for the retail distribution of predominantly food products.</w:t>
        <w:br/>
        <w:t>A. PRODUCT MARKETS</w:t>
        <w:br/>
        <w:t>8. In terms of food distribution, the decision-making practice of the Competition Authority (hereinafter, "the Authority") takes into account several criteria, including the size of the stores, their sales techniques, their accessibility, the nature of the service provided, and the breadth of the ranges of products offered, which leads to the distinction of six categories of commerce: (i) hypermarkets (stores predominantly focused on food with a sales area exceeding 2,500 m²), (ii) supermarkets (between 400 m² and 2,500 m²), (iii) specialized trade, (iv) small retail trade (less than 400 m²), (v) "maxi-discount" stores, and (vi) popular stores. The Authority's decision-making practice also distinguishes online sales.</w:t>
        <w:br/>
        <w:t>9. It should be noted that the area thresholds must be used with caution and may be adapted to the specific case, as stores whose area is close to a threshold, either below or above, may be in direct competition with stores of another category.</w:t>
        <w:br/>
        <w:t>10. In this case, the two target business assets are supermarket-type, with sales areas of [500-1,000] and [500-1,000] m².</w:t>
      </w:r>
    </w:p>
    <w:p>
      <w:r>
        <w:rPr>
          <w:b/>
        </w:rPr>
        <w:t>[Pages 4–6]</w:t>
      </w:r>
    </w:p>
    <w:p>
      <w:r>
        <w:t>B. GEOGRAPHIC MARKETS</w:t>
        <w:br/>
        <w:t>11. The Authority examines the effects of a concentration in the retail distribution sector predominantly focused on food at the local level, corresponding to the catchment area associated with each store, the extent of which depends on the time or distance of travel for the consumer.</w:t>
      </w:r>
    </w:p>
    <w:p>
      <w:r>
        <w:t>12. Regarding the predominantly food distribution markets located outside Île-de-France, the Authority considers that the conditions of competition are assessed in two different zones:</w:t>
        <w:br/>
        <w:t>− a first market ("primary zone") where the demand of consumers meets the supply of hypermarkets accessible to them within less than 30 minutes of travel by car and which are, from their point of view, substitutable with each other; and</w:t>
        <w:br/>
        <w:t>− a second market ("secondary zone") where the demand of consumers meets the supply of supermarkets and equivalent forms of commerce (hypermarkets, popular stores, and "maxi-discount" stores) located within less than 15 minutes of travel time by car.</w:t>
      </w:r>
    </w:p>
    <w:p>
      <w:r>
        <w:t>13. When the target store is a supermarket or an equivalent form of commerce, the competitive analysis only focuses on the second geographic market.</w:t>
      </w:r>
    </w:p>
    <w:p>
      <w:r>
        <w:t>14. The Authority, however, recalls that these delimitations may evolve on a case-by-case basis, depending on the characteristics of the local area, as other criteria may be taken into account to assess the impact of a concentration on the competitive situation in the retail distribution markets, which may lead to refining the usual delimitations presented above.</w:t>
      </w:r>
    </w:p>
    <w:p>
      <w:r>
        <w:t>15. The geographic market may also be defined based on the actual behavior of consumers in a given area, using information collected by points of sale regarding the location of their customers, particularly through loyalty cards. In the food distribution sector, the actual catchment area of a point of sale can be equated to that which includes cardholders representing 80% of its turnover, or failing that, 80% of cardholders. The application of this so-called "actual footprint" method thus allows for an accurate snapshot of the customers who regularly frequent the store and, by construction, of a catchment area.</w:t>
      </w:r>
    </w:p>
    <w:p>
      <w:r>
        <w:t>16. In this case, the joint venture must operate two business assets of the supermarket type located in the cities of Serémange-Erzange (57) and Moyeuvre-Grande (57). The geographic market retained has thus been defined by isochrone zones with a radius of 15 and 17 minutes of travel time by car from the target store. In the case of the point of sale in Serémange-Erzange, this analysis has been supplemented by the examination of its actual footprint.</w:t>
      </w:r>
    </w:p>
    <w:p>
      <w:r>
        <w:t>III. COMPETITIVE ANALYSIS</w:t>
        <w:br/>
        <w:t>A. METHODOLOGY FOR COMPETITIVE ANALYSIS OF LOCAL AREAS IN THE DECISION-MAKING PRACTICE OF THE AUTHORITY</w:t>
        <w:br/>
        <w:t>Presentation of the methodology</w:t>
        <w:br/>
        <w:t>17. Market share estimates are made based on sales area in the zones delineated around the target stores, in accordance with the various geographic scenarios presented above. In order not to create threshold effects, which could result from excluding from its analysis points of sale located on the margins of the defined zones, the Authority takes into account, when it deems justified, the competition from points of sale located at the edge of the zone.</w:t>
      </w:r>
    </w:p>
    <w:p>
      <w:r>
        <w:t>GSA excluding "maxi-discount"</w:t>
        <w:br/>
        <w:t>18. In the field of food distribution by large food stores ("GSA") excluding "maxi-discount," the Authority traditionally distinguishes several categories of local zones, determined based on the market share of the new entity in the area, and based on which it adapts its competitive analysis.</w:t>
      </w:r>
    </w:p>
    <w:p>
      <w:r>
        <w:t>19. First, if the new entity holds a market share of less than 25%, the absence of competition issues is presumed.</w:t>
      </w:r>
    </w:p>
    <w:p>
      <w:r>
        <w:t>20. Second, when the market share of the new entity is between 25% and 50%, the Authority conducts an analysis of the local competitive structure to determine whether the competitors present in the area constitute credible and sufficient alternatives.</w:t>
      </w:r>
    </w:p>
    <w:p>
      <w:r>
        <w:t>21. The Authority has recently conducted this analysis based on a filter that excludes competitive risks in areas where at least three competing brands of national dimension can effectively compete with the stores of the new entity. When this filter is not met, the Authority examines, taking into account the characteristics and configuration of the area, whether there are credible and sufficient alternatives capable of effectively competing with the stores of the new entity. This examination may lead it, where applicable, to assess certain additional elements regarding, for example, the location of various stores and their geographical proximity to the target store or their pricing positioning, as well as the demographic distribution and population flows in the areas concerned.</w:t>
      </w:r>
    </w:p>
    <w:p>
      <w:r>
        <w:t>22. Third, in areas where the market share of the new entity is greater than 50%, the existence of market power is presumed. Here too, the Authority conducts a local analysis, taking into account quantitative elements corroborated by qualitative elements as described in the previous paragraph and analyzes whether the existence of competing brands present in the area can eliminate any risk of harm to competition.</w:t>
      </w:r>
    </w:p>
    <w:p>
      <w:r>
        <w:t>GSA "maxi-discount"</w:t>
        <w:br/>
        <w:t>23. In the field of food distribution by "maxi-discount" GSAs, the thresholds described above must be adapted. Indeed, these stores differ from other GSA brands by their more limited, less deep, and shorter range, at lower prices, by the predominant weight of products sold under private labels and the existence of a higher share of everyday products in their assortment.</w:t>
      </w:r>
    </w:p>
    <w:p>
      <w:r>
        <w:t>24. Thus, the Authority applied, with regard to target stores switching to the "maxi-discount" brand, the same filtering methodology and, where applicable, detailed analysis as for GSAs that are not "maxi-discount," but by adapting the market share thresholds, with a first threshold at 15% (instead of 25%) and a second threshold at 40% (instead of 50%).</w:t>
      </w:r>
    </w:p>
    <w:p>
      <w:r>
        <w:t>Application of the methodology</w:t>
        <w:br/>
        <w:t>25. In this case, the target store must be operated under a brand excluding "maxi-discount," Leclerc. Therefore, the thresholds specific to GSAs excluding "maxi-discount" have been applied to analyze the effects of the operation.</w:t>
      </w:r>
    </w:p>
    <w:p>
      <w:r>
        <w:t>B. ANALYSIS OF THE MOYEUVRE-GRANDE (57) AREA</w:t>
        <w:br/>
        <w:t>26. According to the information provided by the notifying parties, the market shares following the operation, in an area with 15 and 17 minutes of travel time by car around the target store are as follows:</w:t>
      </w:r>
    </w:p>
    <w:p>
      <w:r>
        <w:t>| Number of stores | Market share of target store | Market share of competitors | Market share of groups | Number of competitors | Number of parties / groups |</w:t>
        <w:br/>
        <w:t>|------------------|-----------------------------|----------------------------|-----------------------|----------------------|---------------------------|</w:t>
        <w:br/>
        <w:t>| Zone of 15 minutes | [30-40]% | [0-5]% | [40-50]% | [50-60]% | 6 | 6 / 22 |</w:t>
        <w:br/>
        <w:t>| Zone of 17 minutes | [20-30]% | [0-5]% | [20-30]% | [70-80]% | 7 | 6 / 26 |</w:t>
      </w:r>
    </w:p>
    <w:p>
      <w:r>
        <w:t>27. Regarding the target store located in Moyeuvre-Grande, the market share of the parties is therefore between 25% and 50%. The point of sale will face competition from numerous brands, including five of national dimension: Lidl ([10-20]%), Système U ([10-20]%), Carrefour ([5-10]%), Aldi ([5-10]%), Intermarché ([0-5]%) and Norma ([0-5]%).</w:t>
      </w:r>
    </w:p>
    <w:p>
      <w:r>
        <w:t>28. In the catchment area of 17 minutes, the market share of the parties is reduced to [20-30]%, with the addition of a competing brand, Auchan, and 4 stores.</w:t>
      </w:r>
    </w:p>
    <w:p>
      <w:r>
        <w:t>29. According to the methodology presented in point 21, due to the presence of more than three national brands in the area, the operation is not likely to harm competition in the catchment area of the point of sale located in Moyeuvre-Grande.</w:t>
      </w:r>
    </w:p>
    <w:p>
      <w:r>
        <w:rPr>
          <w:b/>
        </w:rPr>
        <w:t>[Pages 7–9]</w:t>
      </w:r>
    </w:p>
    <w:p>
      <w:r>
        <w:t>A. ANALYSIS OF THE SEREMANGE-ERZANGE AREA (57)</w:t>
        <w:br/>
        <w:t>30. According to the information provided by the notifying parties, the market shares following the operation, in an area 15 and 17 minutes travel time by car around the target store, are as follows:</w:t>
        <w:br/>
        <w:t>Number of</w:t>
        <w:br/>
        <w:t>Market share of stores of</w:t>
        <w:br/>
        <w:t>Market share Market share Market share Number of</w:t>
        <w:br/>
        <w:t xml:space="preserve">market of the parties / </w:t>
        <w:br/>
        <w:t>of the parties of competitors</w:t>
        <w:br/>
        <w:t>competitors stores</w:t>
        <w:br/>
        <w:t>competitors</w:t>
        <w:br/>
        <w:t>15-minute zone</w:t>
        <w:br/>
        <w:t>[50-60] % [0-5] % [50-60] % [40-50] % 7 7 / 23</w:t>
        <w:br/>
        <w:t>minutes</w:t>
        <w:br/>
        <w:t>17-minute zone</w:t>
        <w:br/>
        <w:t>[30-40] % [0-5] % [30-40] % [60-70] % 7 8 / 31</w:t>
        <w:br/>
        <w:t>minutes</w:t>
        <w:br/>
        <w:t>31. In the 15-minute catchment area, the parties face competition from several brands, including six of national scale: Carrefour ([10-20] %), Lidl ([10-20] %), Système U ([5-10] %), Intermarché ([5-10] %), Aldi ([5-10] %), Auchan ([0-5] %), and Norma ([0-5] %). Taking into account the stores present in the 17-minute area, the market share of the parties is reduced to [30-40] % and the number of competing brands remains the same.</w:t>
        <w:br/>
        <w:t>Position of the notifying parties</w:t>
        <w:br/>
        <w:t>32. The notifying parties believe that the operation is not likely to harm competition, due to the competitive dynamics of the area and the numerous competing brands.</w:t>
        <w:br/>
        <w:t>33. The parties note that the relevant catchment area is a highly urbanized area, along the Metz-Thionville-Luxembourg axis, where many stores are present, as shown by the market shares of the parties in the 17-minute area around the target store. They also indicate that consumers typically travel around this axis by car. These factors, according to the parties, are likely to limit consumer loyalty to any particular store.</w:t>
        <w:br/>
        <w:t>34. All of these considerations allow, according to the parties, to exclude any risk of anti-competitive effects in the Serémange-Erzange area (57).</w:t>
        <w:br/>
        <w:t>Position of the Authority</w:t>
        <w:br/>
        <w:t>35. The target store is a "small" supermarket with a sales area of approximately 1,000 m². The analysis of its actual footprint shows that a majority of its loyalty card-holding customers reside in the municipality where the target store is located, namely Serémange-Erzange ([40-50] %), while the nearest municipalities host only a smaller share of the clientele (Florange, [10-20] %, Fameck, [10-20] %, Hayange [10-20] %).</w:t>
        <w:br/>
        <w:t>36. In the immediate vicinity of the target store, there are several competing brands: Aldi, Lidl (2 stores), and Carrefour Market, with respective sales areas of [500-1,000] m², [500-1,000] m², [1,000-2,000] m², and [1,000-2,000] m². A hypermarket under the Leclerc brand is also located near the target store and has a sales area of [13,000-14,000] m².</w:t>
        <w:br/>
        <w:t>37. However, the target store constitutes a supermarket with a predominantly food offering for nearby consumers. The brands Aldi, Lidl, and Carrefour have stores of a size comparable to that of the target store. These stores therefore represent the closest substitutes to the Target. In contrast, the Leclerc store, with a sales area 13 times larger than that of the target store, cannot be considered a close substitute.</w:t>
        <w:br/>
        <w:t>38. Furthermore, regarding more substantial shopping, the Authority considers that the various elements provided by the notifying parties confirm that consumers will have alternatives following the operation.</w:t>
        <w:br/>
        <w:t>39. Indeed, while three hypermarkets under the Leclerc brand are present in the catchment area of the target, two hypermarkets under competing brands (one Intermarché and one Super U) are also present. Moreover, as noted by the notifying parties, the population in this area is mobile and typically travels by car. Considering the 17-minute area around the store, it appears that three additional hypermarkets (one under the Super U brand and two under the Carrefour brand, one of which has a sales area of nearly [14,000-15,000] m²) will exert competitive pressure on the players present in this area.</w:t>
        <w:br/>
        <w:t>40. It can therefore be considered that the various alternatives available to consumers, both for their nearby shopping and for more substantial purchases, are sufficient to eliminate any risk of price increases or deterioration in the quality of services provided in the stores of the parties.</w:t>
        <w:br/>
        <w:t>41. Given all these elements, the operation is not likely to harm competition in the relevant markets.</w:t>
        <w:br/>
        <w:t>15 Thus, 84.2% of the residents of Serémange-Erzange commute to work using their vehicle (Insee, 2022 population census).</w:t>
        <w:br/>
        <w:t xml:space="preserve">  </w:t>
        <w:br/>
        <w:t>DECISION</w:t>
        <w:br/>
        <w:t>Sole Article: The operation notified under number 25-347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