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https://www.autoritedelaconcurrence.fr/fr/decision-de-controle-des-concentrations/relative-la-prise-de-controle-conjoint-de-douze-magasins-de</w:t>
      </w:r>
    </w:p>
    <w:p>
      <w:r>
        <w:t>Pages translated : 2</w:t>
      </w:r>
    </w:p>
    <w:p/>
    <w:p>
      <w:r>
        <w:rPr>
          <w:b/>
        </w:rPr>
        <w:t>[Pages 1–2]</w:t>
      </w:r>
    </w:p>
    <w:p>
      <w:r>
        <w:t xml:space="preserve">FRENCH REPUBLIC  </w:t>
        <w:br/>
        <w:t xml:space="preserve">Decision No. 19-DCC-187 of October 10, 2019  </w:t>
        <w:br/>
        <w:t xml:space="preserve">regarding the joint control acquisition of twelve retail stores with a food focus under the Monop brand by the companies Monoprix and Imanes  </w:t>
        <w:br/>
        <w:t xml:space="preserve">The Competition Authority,  </w:t>
        <w:br/>
        <w:t xml:space="preserve">Having regard to the complete notification file sent to the mergers department on September 13, 2019, concerning the joint control acquisition of twelve retail stores with a food focus under the Monop brand by the companies Monoprix and Imanes, and formalized by a memorandum of understanding dated July 23, 2019;  </w:t>
        <w:br/>
        <w:t xml:space="preserve">Having regard to Book IV of the Commercial Code relating to the freedom of prices and competition, and in particular its Articles L. 430-1 to L. 430-7;  </w:t>
        <w:br/>
        <w:t xml:space="preserve">Having regard to the elements submitted by the notifying parties during the investigation;  </w:t>
        <w:br/>
        <w:t xml:space="preserve">Adopts the following decision:  </w:t>
        <w:br/>
        <w:t xml:space="preserve">1. The notified operation consists of the joint control acquisition by the companies Monoprix, controlled by the Casino group, and Imanes, controlled by the Zouari family, of twelve business assets, which operate retail stores with a food focus under the Monop brand located in Paris (75), Boulogne-Billancourt (92), Neuilly-sur-Seine (92), and Saint-Denis (93), with respective sales areas ranging from 180 m² to 680 m². It constitutes a concentration operation within the meaning of Article L. 430-1 of the Commercial Code. Given the revenues generated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19-209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