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https://www.autoritedelaconcurrence.fr/fr/decision-de-controle-des-concentrations/relative-la-prise-de-controle-conjoint-de-fonds-de-0</w:t>
      </w:r>
    </w:p>
    <w:p>
      <w:r>
        <w:t>Pages translated : 12</w:t>
      </w:r>
    </w:p>
    <w:p/>
    <w:p>
      <w:r>
        <w:rPr>
          <w:b/>
        </w:rPr>
        <w:t>[Pages 1–3]</w:t>
      </w:r>
    </w:p>
    <w:p>
      <w:r>
        <w:t>FRENCH REPUBLIC</w:t>
        <w:br/>
        <w:t>Decision No. 25-DCC-124 of June 13, 2025</w:t>
        <w:br/>
        <w:t>regarding the joint control of retail businesses predominantly focused on food and fuel distribution by the company Brest Eurodis alongside the Association of E. Leclerc Distributor Centers</w:t>
        <w:br/>
        <w:t>The Competition Authority,</w:t>
        <w:br/>
        <w:t>Having regard to the notification file submitted to the merger service on December 13, 2024, and declared complete on March 21, 2025, concerning the joint control of retail businesses predominantly focused on food and fuel distribution by the company Brest Eurodis alongside the Association of E. Leclerc Distributor Centers, formalized by two transfer deeds dated June 5, 2025;</w:t>
        <w:br/>
        <w:t>Having regard to Book IV of the Commercial Code relating to price and competition freedom, and in particular Articles L. 430-1 to L. 430-7;</w:t>
        <w:br/>
        <w:t>Having regard to the supplementary elements provided by the notifying party during the investigation;</w:t>
        <w:br/>
        <w:t>Having regard to the other documents in the file;</w:t>
        <w:br/>
        <w:t>Adopts the following decision:</w:t>
      </w:r>
    </w:p>
    <w:p>
      <w:r>
        <w:t>I. THE COMPANIES INVOLVED AND THE TRANSACTION</w:t>
        <w:br/>
        <w:t>1. The company Brest Eurodis (hereinafter, "Brest Eurodis"), created for the purposes of the transaction, is majority-owned by Mr. Barral. He also holds a majority stake in the company Kerbar, which operates, under the E. Leclerc brand, a hypermarket, a toy store, a travel agency, and an auto maintenance center located in Gouesnou (29) as well as a standalone drive-through in Brest (29)1.</w:t>
        <w:br/>
        <w:t>2. The Association of E. Leclerc Distributor Centers (hereinafter, the "ACDLec") is the body that defines the strategy of the E. Leclerc movement, to which all individuals who manage the operating companies of E. Leclerc stores are members. The ACDLec notably determines the conditions for approval to the E. Leclerc movement and signs the so-called "signage" contracts that must be held by the operators of E. Leclerc retail businesses.</w:t>
        <w:br/>
        <w:t>3. The target consists of the business assets of a hypermarket located on the road to Gouesnou in Brest (29), with a sales area of 7,497 m², previously operated under the Géant Casino brand by the company Distribution Casino France (hereinafter, "Casino"), a subsidiary of the company Casino Guichard-Perrachon (hereinafter, "CGP"). It also includes an ancillary business asset related to the adjacent gas station owned by the company Floréal. Casino and Floréal ceased operations of the store and the gas station on September 30, 2024. As of the date of this decision, the target store and gas station remain closed. The project notified to the Authority on December 13, 2024, which also received a derogation letter on December 20, 2024, concerns the operation of a food-dominant business on a sales area of [2,500-3,000] m², a toy store on a sales area of approximately [1,000-2,000] m², and a parapharmacy of [200-500] m².</w:t>
        <w:br/>
        <w:t>4. The contemplated operation, formalized by two transfer deeds dated June 5, 2025, consists of the joint acquisition of control by Mr. Barral and the ACDLec over the target business assets. As specified in decision No. 20-DCC-1162 confirmed by the ruling of the Council of State on October 14, 20223, the obligations that the ACDLec imposes on the operating companies of E. Leclerc stores, such as Brest Eurodis, allow it to exert a decisive influence over them. This analysis of the decisive influence exerted by the ACDLec is transferable to the present operation. Following the operation, the target business assets will therefore be held by Brest Eurodis, which will be jointly controlled, within the meaning of merger law, by Mr. Barral and the ACDLec.</w:t>
        <w:br/>
        <w:t>5. To the extent that it results, for the reasons set forth above, in the joint control of the target business assets by Brest Eurodis alongside the ACDLec, the operation constitutes a concentration within the meaning of Article L. 430-1 of the Commercial Code.</w:t>
        <w:br/>
        <w:t>6. The companies involved together generate a total worldwide turnover excluding taxes of more than 75 million euros (ACDLec4: [≥ 75 million] euros for the fiscal year ending December 31, 2023; Mr. Barral: [≥ 75 million] euros for the fiscal year ending March 31, 2024; the target business assets: [≤ 75 million] euros for the fiscal year ending December 31, 2023). At least two of these companies generate in France a turnover exceeding 15 million euros (ACDLec: [≥ 15 million] euros for the fiscal year ending December 31, 2023; Mr. Barral: [≥ 15 million] euros for the fiscal year ending March 31, 2024; the target business assets: [≥ 15 million] euros for the fiscal year ending December 31, 2023).</w:t>
        <w:br/>
        <w:t>7. The notification thresholds of Article 1 paragraph 2 of Regulation (EC) 139/2004 are not exceeded; therefore,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w:t>
      </w:r>
    </w:p>
    <w:p>
      <w:r>
        <w:t>II. Definition of Relevant Markets</w:t>
        <w:br/>
        <w:t>8. The markets concerned by the operation primarily fall within the sector of food-dominant distribution5. According to the consistent practice of national and European competition authorities, two categories of markets can be delineated in this sector: (A) upstream markets for the supply of everyday consumer goods and (B) downstream markets for the retail distribution of food-dominant products.</w:t>
        <w:br/>
        <w:t>A. UPSTREAM MARKETS FOR THE SUPPLY OF CONSUMER GOODS</w:t>
        <w:br/>
        <w:t>1. PRODUCT MARKETS</w:t>
        <w:br/>
        <w:t>9. According to a consistent decisional practice6, the Authority defines the upstream markets for the supply of everyday consumer goods according to the families or groups of products concerned and their distribution channel (food hypermarkets or "GSA", specialized large surfaces). Within the distribution channel aimed at GSAs, the Authority has considered a segmentation based on the commercial positioning of the product (manufacturer brand or "MDF", or distributor brand or "MDD").</w:t>
        <w:br/>
        <w:t>5 As indicated in paragraph 3 of this decision, part of the target's area will be used for parapharmacy activities and retail distribution of toys. In any case, the operation is not likely to create anti-competitive effects in these markets regarding the opening of new points of sale (i.e., no disappearance of a competitor) and considering in particular the estimated positions of the new entity. Furthermore, in the markets for the retail distribution of fuel outside of highways, the new entity will continue to face competition from specialized and generalist players.</w:t>
        <w:br/>
        <w:t>6 See in particular the decisions of the Authority No. 13-DCC-90 of July 11, 2013, regarding the exclusive control of the company Monoprix by the company Casino Guichard-Perrachon; No. 14-DCC-173 of November 21, 2014, regarding the exclusive control of the company Dia France SAS by the company Carrefour SAS; No. 17-DCC-11 of January 30, 2017, regarding the control of Colruyt France SAS by Metro AG; No. 20-DCC-72 of May 26, 2020, regarding the exclusive control of the company Vindémia Group by the company Groupe Bernard Hayot; No. 20-DCC-116 mentioned above; No. 20-DCC-164 of November 17, 2020, regarding the exclusive control of assets of the company Franprix Leader Price Holding by Aldi; No. 24-DCC-02 of January 11, 2024, regarding the exclusive control of 61 stores formerly under the Casino brand by the company ITM Entreprises; No. 24-DCC-179 of August 5, 2024, regarding the exclusive control of 18 points of sale of the Casino group by Mr. Patrick Rocca; No. 24-DCC-255 of November 28, 2024, regarding the exclusive control of 200 points of sale of Casino by the company ITM Entreprises; No. 24-DCC-288 of December 13, 2024, regarding the exclusive control of 25 points of sale of the Casino group by Carrefour; No. 25-DCC-56 of March 13, 2025, regarding the exclusive control by the company Carrefour of the food distribution activity and self-management of shopping centers in France of the Louis Delhaize group; and No. 25-DCC-65 of March 21, 2025, regarding the exclusive control of 98 points of sale of the Casino group by Auchan.</w:t>
      </w:r>
    </w:p>
    <w:p>
      <w:r>
        <w:rPr>
          <w:b/>
        </w:rPr>
        <w:t>[Pages 4–6]</w:t>
      </w:r>
    </w:p>
    <w:p>
      <w:r>
        <w:t xml:space="preserve">10. The Authority also distinguished a market for the supply of organic products separate from that for the supply of conventional (non-organic) products7.  </w:t>
        <w:br/>
        <w:t xml:space="preserve">11. In this case, the effects of the transaction were analyzed in these markets where the parties are concurrently active as buyers.  </w:t>
        <w:br/>
        <w:t xml:space="preserve">2. GEOGRAPHICAL MARKETS  </w:t>
        <w:br/>
        <w:t xml:space="preserve">12. From a geographical perspective, the Authority's consistent decision-making practice considers that supply markets are primarily of national dimension8.  </w:t>
        <w:br/>
        <w:t xml:space="preserve">13. The effects of the transaction will be analyzed at the national level in this case.  </w:t>
        <w:br/>
        <w:t xml:space="preserve">B. DOWNSTREAM MARKETS OF FOOD-DOMINANT DISTRIBUTION  </w:t>
        <w:br/>
        <w:t xml:space="preserve">1. SERVICE MARKETS  </w:t>
        <w:br/>
        <w:t xml:space="preserve">14. In terms of food distribution, the Authority's decision-making practice9 takes into account several criteria, including the size of stores, their sales techniques, their accessibility, the nature of the service provided, and the range of products offered, which leads to the distinction of six categories of commerce10: (i) hypermarkets11 (food-dominant stores with a sales area greater than 2,500 m²), (ii) supermarkets12 (between 400 m² and 2,500 m²), (iii) specialized commerce13, (iv) small retail businesses (less than 400 m²)14, (v) maxi-discount stores15, and (vi) variety stores16. Online sales are also distinguished17.  </w:t>
        <w:br/>
        <w:t xml:space="preserve">15. The Authority thus distinguishes:  </w:t>
        <w:br/>
        <w:t xml:space="preserve">7 Ibid and no. 21-DCC-161 of September 10, 2021, regarding the exclusive control of certain activities of the Bio c’ Bon group by Carrefour France.  </w:t>
        <w:br/>
        <w:t xml:space="preserve">8 Supra footnote 6. The decision-making practice has also been able to analyze the effects of transactions on supply markets at the local level when the targets were located in island territories, which is not relevant in this case. See in this regard for La Réunion decision no. 20-DCC-72 or for Corsica decision no. 24-DCC-179 mentioned above.  </w:t>
        <w:br/>
        <w:t xml:space="preserve">9 Supra footnote 6.  </w:t>
        <w:br/>
        <w:t xml:space="preserve">10 It should be noted that the surface area thresholds should be used with caution and may be adapted to the specific case, as stores whose surface area is near a threshold, either below or above, may be in direct competition with stores of another category.  </w:t>
        <w:br/>
        <w:t xml:space="preserve">11 The offer of hypermarkets is generally characterized by a set of criteria including product diversity, i.e., a wide variety of both food and non-food products, a certain depth of range, the accessibility of the point of sale, and the services offered. See in particular the Authority's decision no. 20-DCC-116 mentioned above.  </w:t>
        <w:br/>
        <w:t xml:space="preserve">12 The offer of supermarkets generally presents product diversity as well as less significant depth of ranges than hypermarkets, particularly for non-food products.  </w:t>
        <w:br/>
        <w:t xml:space="preserve">13 These specialized businesses are notably brands that generate the vast majority of their revenue from fresh products or brands specialized in selling organic products. See in this regard the Authority's decisions no. 14-DCC-173 and no. 21-DCC-161 mentioned above.  </w:t>
        <w:br/>
        <w:t xml:space="preserve">14 Within small retail businesses, small self-service stores that offer a narrow assortment of everyday products (surface area less than 120 m²) and convenience stores whose product offer is somewhat broader (surface area between 120 m² and 400 m²) are distinguished. See in this regard the Authority's decisions no. 14-DCC-30 of March 6, 2014, regarding the exclusive control by Carrefour Proximité France of 129 food-dominant retail stores and no. 14-DCC-173 mentioned above.  </w:t>
        <w:br/>
        <w:t xml:space="preserve">15 Maxi-discount stores predominantly offer private label products, within shorter and less deep product ranges than other GSA. See in this regard in particular the Authority's decision no. 20-DCC-164 mentioned above.  </w:t>
        <w:br/>
        <w:t xml:space="preserve">16 So-called "variety" stores are characterized by a non-food assortment (notably textiles and beauty products) richer than that of supermarkets. See in particular the Authority's decision no. 13-DCC-90 mentioned above.  </w:t>
        <w:br/>
        <w:t>17 Authority decision no. 14-DCC-173 mentioned above.</w:t>
      </w:r>
    </w:p>
    <w:p>
      <w:r>
        <w:t xml:space="preserve">- a market comprising only hypermarkets; and  </w:t>
        <w:br/>
        <w:t xml:space="preserve">- a market comprising supermarkets and equivalent forms of commerce (hypermarkets, maxi-discount stores18, and variety stores19), excluding small retail businesses (less than 400 m²) and specialized stores.  </w:t>
        <w:br/>
        <w:t xml:space="preserve">16. The Authority considers that the competitive analysis only concerns the second market when the target store has the size of a supermarket. When the target store has the size of a hypermarket, both markets presented above are analyzed.  </w:t>
        <w:br/>
        <w:t xml:space="preserve">17. Furthermore, the Authority questioned the relevance of including online food commerce within the downstream market of food-dominant distribution20. This form of commerce notably includes online grocery pickup services ("drives")21 and home delivery22.  </w:t>
        <w:br/>
        <w:t xml:space="preserve">18. Regarding isolated drives, while the Authority considered that they exert a certain competitive pressure on ordinary physical stores, they cannot be directly equated to physical points of sale. Indeed, while there is some substitutability between physical stores and isolated drives, the Authority deemed it insufficient to consider that these two models respond to the same determinants of supply and demand. The existence of drives has therefore been retained as a factor reinforcing, where applicable, either the position of the acquirer or the diversity of the offer in the relevant catchment areas23. This analytical framework has, in this case, been confirmed within the framework of the market test conducted for the purposes of this instruction. However, the question of including isolated drives in the relevant service markets may be left open in this case as the conclusions of the competitive analysis remain unchanged regardless of the delimitation considered.  </w:t>
        <w:br/>
        <w:t xml:space="preserve">19. In this case, the target is a hypermarket business including an attached drive. The ACDLec jointly controls, along with several members present in the area of the target business, supermarkets and hypermarkets. The ACDLec and its members also control both drives attached to stores and isolated drives. Mr. Barral currently operates a hypermarket under the E. Leclerc brand located in Gouesnou (29) as well as an attached drive and an isolated drive in Brest (29).  </w:t>
        <w:br/>
        <w:t xml:space="preserve">18 The Authority found that maxi-discount stores and other stores distributing food-dominant products exert mutual competition among themselves. See the Authority's decision no. 20-DCC-164 mentioned above.  </w:t>
        <w:br/>
        <w:t xml:space="preserve">19 The Authority left the question of whether to consider the entire surface area of these stores or only the open food area open. See in particular the Authority's decisions no. 13-DCC-90; no. 14-DCC-173 mentioned above and no. 19-DCC-06 of January 11, 2019, regarding the exclusive control of a business operated by the Galeries Lafayette group by Monoprix Exploitation.  </w:t>
        <w:br/>
        <w:t xml:space="preserve">20 See in particular the Authority's decisions no. 14-DCC-173 mentioned above; no. 14-DCC-147 of October 8, 2014, regarding the joint control of the companies Stradis and Stradis Drive 1 by the company Strafi alongside the Association of E. Leclerc Distributor Centers and no. 15-DCC-114 of September 17, 2015, regarding the joint control of a food-dominant retail store and a drive by the company Mavidis alongside the Association of E. Leclerc Distributor Centers.  </w:t>
        <w:br/>
        <w:t xml:space="preserve">21 The drive consists of an offer of fast-moving consumer goods predominantly food that the consumer orders online to then pick up at a given physical point. The Authority's previous decision-making practice has been able to consider a distinction between car drives and pedestrian pickup points in physical stores (notably known as click &amp; collect). See in this regard in particular the Authority's decisions no. 13-DCC-90 and no. 14-DCC-173 mentioned above. This decision only addresses car drives, which can take three forms: isolated warehouses, solely dedicated to drive activity ("isolated drives"), warehouses attached to a store ("attached drives"), or stores used to prepare drive orders ("store picking").  </w:t>
        <w:br/>
        <w:t xml:space="preserve">22 Regarding home delivery after online ordering, the Authority's decision-making practice has not considered that it should be integrated into the analysis concerning physical points of sale. See in particular the Authority's decisions no. 13-DCC-90 and no. 14-DCC-173 mentioned above.  </w:t>
        <w:br/>
        <w:t>23 Regarding the strengthening of the diversity of the offer, see in particular the Authority's decision no. 14-DCC-173 mentioned above.</w:t>
      </w:r>
    </w:p>
    <w:p>
      <w:r>
        <w:t xml:space="preserve">2. DELIMITATION OF GEOGRAPHICAL MARKETS  </w:t>
        <w:br/>
        <w:t xml:space="preserve">20. Competition authorities have examined the effects of concentrations in the food-dominant retail distribution sector at the local level, corresponding to the catchment area associated with each store and whose extent is dependent on the time or distance of travel for the consumer.  </w:t>
        <w:br/>
        <w:t xml:space="preserve">21. Outside Île-de-France and large cities24, the Authority has repeatedly emphasized that the conditions of competition are assessed in two different areas:  </w:t>
        <w:br/>
        <w:t xml:space="preserve">- a first market where consumer demand meets the supply of hypermarkets that they can access within 30 minutes of travel by car and which are, from their perspective, substitutable for each other; and  </w:t>
        <w:br/>
        <w:t xml:space="preserve">- a second market where consumer demand meets the supply of supermarkets and equivalent forms of commerce (hypermarkets, variety stores25, and maxi-discount stores26) located within 15 minutes of travel by car.  </w:t>
        <w:br/>
        <w:t xml:space="preserve">22. When the target store has the size of a hypermarket, the two geographical markets presented above are analyzed27.  </w:t>
        <w:br/>
        <w:t xml:space="preserve">23. In this case, the target store is a hypermarket located at 29 route de Gouesnou in Brest (29). The notification indeed concerns the acquisition of a GSA business that will be operated on a sales area of [2,500-3,000] m², which is akin to the acquisition of a hypermarket. The analysis has therefore been conducted on the geographical markets corresponding to isochrone areas of 15 minutes and 30 minutes by car around the target28.  </w:t>
        <w:br/>
        <w:t xml:space="preserve">III. Competitive Analysis  </w:t>
        <w:br/>
        <w:t xml:space="preserve">A. UPSTREAM MARKETS FOR THE SUPPLY OF FAST-MOVING CONSUMER GOODS  </w:t>
        <w:br/>
        <w:t xml:space="preserve">24. A transaction that creates or strengthens the market power of a buyer can significantly hinder effective competition, notably by creating or strengthening a dominant position upstream that may place suppliers in a situation of economic dependence. A concentration could also produce harmful effects to the  </w:t>
        <w:br/>
        <w:t xml:space="preserve">24 Bordeaux, Nantes, Rennes, Lille, Strasbourg, Marseille, Toulouse, Nice, Montpellier, and Lyon. See the Authority's decision no. 13-DCC-90 mentioned above.  </w:t>
        <w:br/>
        <w:t xml:space="preserve">25 Supra footnote 16.  </w:t>
        <w:br/>
        <w:t xml:space="preserve">26 Supra footnote 15.  </w:t>
        <w:br/>
        <w:t xml:space="preserve">27 The Authority consistently reminds that these delimitations may evolve on a case-by-case basis, depending on the characteristics of the local area, as other criteria may be taken into account to assess the impact of a concentration on the competitive situation in retail distribution markets, which may lead to deviating from the usual delimitations presented above.  </w:t>
        <w:br/>
        <w:t>28 In order not to create threshold effects, which could result from excluding from its analysis points of sale located on the margins of the defined areas, the Authority also took into account, when deemed justified, the competition from points of sale located at the edge of the area, within an additional travel time of about two minutes. This examination of the edges of the area is consistent with the Authority's practice regarding retail markets.</w:t>
      </w:r>
    </w:p>
    <w:p>
      <w:r>
        <w:rPr>
          <w:b/>
        </w:rPr>
        <w:t>[Pages 7–9]</w:t>
      </w:r>
    </w:p>
    <w:p>
      <w:r>
        <w:t>competition in the downstream markets, particularly if the entity resulting from the transaction was likely to use its purchasing power against its suppliers to eliminate its competitors29.</w:t>
      </w:r>
    </w:p>
    <w:p>
      <w:r>
        <w:t>25. In this case, the transaction concerns only a single store whose total purchases represented, in 2022 and 2023, an extremely marginal share30 of the national supply market.</w:t>
      </w:r>
    </w:p>
    <w:p>
      <w:r>
        <w:t>26. The purchasing power of the E. Leclerc movement is therefore not likely to be significantly strengthened, across all products as well as by product category, as a result of the transaction. Furthermore, since the transaction does not lead to any significant modification of the structure and functioning of competition in the upstream supply market, any risk of creating or strengthening an economic dependency of suppliers on the new entity can be excluded.</w:t>
      </w:r>
    </w:p>
    <w:p>
      <w:r>
        <w:t>27. Consequently, the transaction is not likely to harm competition through horizontal effects in the upstream supply markets.</w:t>
      </w:r>
    </w:p>
    <w:p>
      <w:r>
        <w:t>B. DOWNSTREAM MARKETS FOR RETAIL DISTRIBUTION OF FOOD-DOMINANT PRODUCTS</w:t>
      </w:r>
    </w:p>
    <w:p>
      <w:r>
        <w:t>1. METHODOLOGY</w:t>
      </w:r>
    </w:p>
    <w:p>
      <w:r>
        <w:t>28. In the matter of retail distribution of food-dominant products, the Authority conducts its competitive analysis based on estimated market shares in sales area31, notably using filters32.</w:t>
      </w:r>
    </w:p>
    <w:p>
      <w:r>
        <w:t>29. In this case, the project carried by the company Brest Eurodis is limited, regarding food-dominant distribution, to the operation of a sales area of [2,500-3,000] m². In accordance with the methodology applied by the Authority in food distribution, only the qualitative analysis of the effects of the transaction in a 30-minute isochrone area around the target would have been conducted, as the qualitative analysis of the 15-minute isochrone area was not necessary. However, since the Authority received observations from third parties located in this 15-minute area during the investigation, the qualitative analysis of the transaction was also conducted in this area.</w:t>
      </w:r>
    </w:p>
    <w:p>
      <w:r>
        <w:t>2. CASE ANALYSIS</w:t>
      </w:r>
    </w:p>
    <w:p>
      <w:r>
        <w:t>30. As a preliminary point, it is important to specify the scope of the analysis conducted by the Authority in this decision, as this analysis is related to the possible effects resulting from the notified transaction.</w:t>
      </w:r>
    </w:p>
    <w:p>
      <w:r>
        <w:t>31. In this case, the transaction is part of a movement of closures of several stores operated under the Casino brand nationwide following the financial difficulties of the CGP33 group. In this context, the target store has been closed since September 30, 2024, with no prospect of reopening by Casino. The disappearance of the Casino brand in hypermarket format in the catchment areas of the target store predates the transaction and is therefore independent of it. Thus, any effects related to the reduction in the number of brands operating hypermarkets in the relevant catchment areas and, consequently, the diversity of the offer in these areas, are not specific to the transaction and will therefore not be analyzed in this decision.</w:t>
      </w:r>
    </w:p>
    <w:p>
      <w:r>
        <w:t>32. Therefore, the present analysis focuses on the risks to competition related to a potential strengthening of the new entity and the capacity of stores under competing brands to exert sufficient competitive pressure on it in the catchment areas of the target store. The Authority thus sought to determine whether the transaction grants the new entity the power to hinder the maintenance of effective competition in the relevant market by providing it with the possibility of independent behavior to a significant extent with respect to its competitors and customers.</w:t>
      </w:r>
    </w:p>
    <w:p>
      <w:r>
        <w:t>33. In accordance with the decision-making practice of the Authority and considering the elements gathered during the investigation, the transaction was analyzed in a 15-minute isochrone area by car around the target store and in a 30-minute isochrone area by car around the target store.</w:t>
      </w:r>
    </w:p>
    <w:p>
      <w:r>
        <w:t>15-Minute Isochrone Area Around the Target Store</w:t>
      </w:r>
    </w:p>
    <w:p>
      <w:r>
        <w:t>34. In the 15-minute isochrone area by car around the target store, including stores with a sales area equivalent to or greater than that of a supermarket, the market share of the new entity is as follows:</w:t>
      </w:r>
    </w:p>
    <w:p>
      <w:r>
        <w:t>Number of</w:t>
        <w:br/>
        <w:t>stores of</w:t>
        <w:br/>
        <w:t>PDM Number of</w:t>
        <w:br/>
        <w:t>PDM target Cumulative PDM parties/Number</w:t>
        <w:br/>
        <w:t>E. Leclerc competitors</w:t>
        <w:br/>
        <w:t>of competing stores</w:t>
        <w:br/>
        <w:t>[40-50] % [0-5] % [40-50] % 6 7/21</w:t>
      </w:r>
    </w:p>
    <w:p>
      <w:r>
        <w:t>35. The new entity will hold a market share of [40-50] % with a market share increment of [0-5] points. The new entity will face competition from six national brands: Système U ([10-20] %), Carrefour ([10-20] %), Lidl ([5-10] %), Intermarché ([0-5] %), Casino ([0-5] %), and Aldi ([0-5] %)34.</w:t>
      </w:r>
    </w:p>
    <w:p>
      <w:r>
        <w:t>36. First, the transaction leads to a limited modification of the structure of competition in the area. Thus, the market shares of the new entity will be below 50 % with an increment of less than 5 points. In terms of the number of stores, the stores operated under the E. Leclerc brand will represent, before and after the transaction, about a quarter of the number of stores in the area.</w:t>
      </w:r>
    </w:p>
    <w:p>
      <w:r>
        <w:t>37. Furthermore, the new entity will face numerous competing stores, operating under several brands, capable of exerting competitive pressure. More specifically, the new entity will face competition from six national brands, including two maxi-discount stores. In this regard, the Authority notes that the brands Système U, Carrefour, Lidl, and Aldi have stores in supermarket format in close proximity to the target hypermarket35. Additionally, a store with a sales area equivalent to that of the target ([2,500-3,000] m²), operated under the Super U brand, is also located less than ten minutes by car from the target36. Moreover, while Mr. Barral operates a hypermarket under the E. Leclerc brand (in Gouesnou) with a significant sales area (greater than 10,000 m²), the Authority notes the presence of a competing hypermarket under the Carrefour brand in the area (in the Iroise shopping center located in Brest) with a comparable sales area.</w:t>
      </w:r>
    </w:p>
    <w:p>
      <w:r>
        <w:t>38. Furthermore, six standalone drive-throughs are operated under the E. Leclerc brand in the area. As a preliminary point, it should be recalled that, according to the Authority's practice, standalone drive-throughs do exert some competitive pressure on ordinary physical stores, but are not directly assimilated to physical points of sale. To assess the competitive pressure from these standalone drive-throughs, an estimation of the market shares of operators in the area in value was conducted based on the elements collected during the investigation, including physical points of sale (with drive-throughs where applicable) and standalone drive-throughs. It emerges from the investigation that, in any case, while the presence of these standalone drive-throughs increases the position and presence of the E. Leclerc brand in the area, the market share increment related to the transaction, estimated in value, remains limited (around 5 %). The target does not operate a standalone drive-through, which also limits the impact of the transaction on the competitive structure of the market. Therefore, the transaction is not likely to alter the competitive behavior of the stores and drive-throughs operated under the E. Leclerc brand in the area.</w:t>
      </w:r>
    </w:p>
    <w:p>
      <w:r>
        <w:t>39. In light of the above, the Authority considers that the transaction does not pose risks of establishing a strategy of price increases or degradation of quality detrimental to consumers by the new entity, given the market share increment related to the transaction and the presence of numerous and varied competitors capable of disciplining the behavior of the latter in the 15-minute isochrone area by car around the target store.</w:t>
      </w:r>
    </w:p>
    <w:p>
      <w:r>
        <w:t>40. During the investigation, several third parties expressed concerns about market eviction following the acquisition of the target business due to a potential low-price strategy by the stores under the E. Leclerc brand in the area. However, considering the elements provided by third parties, the weakness of the increment, the limited modification of the competitive structure related to the transaction, and the presence of several competitors operating stores under national brands in the area, the transaction is not likely to strengthen either the capacity of the E. Leclerc brand to implement the indicated eviction strategy against its competitors in the area or the potential effects of such a strategy37.</w:t>
      </w:r>
    </w:p>
    <w:p>
      <w:r>
        <w:rPr>
          <w:b/>
        </w:rPr>
        <w:t>[Pages 10–12]</w:t>
      </w:r>
    </w:p>
    <w:p>
      <w:r>
        <w:t>Zone of 30 minutes by car around the target store</w:t>
        <w:br/>
        <w:t>41. In the area of 30 minutes by car around the target store comprising only hypermarkets, the market share of the new entity is as follows:</w:t>
        <w:br/>
        <w:t>Number of</w:t>
        <w:br/>
        <w:t>stores of</w:t>
        <w:br/>
        <w:t>PDM Number of</w:t>
        <w:br/>
        <w:t>target PDM Cumulative PDM parties/Number</w:t>
        <w:br/>
        <w:t>E. Leclerc competitors</w:t>
        <w:br/>
        <w:t>of competing</w:t>
        <w:br/>
        <w:t>stores</w:t>
        <w:br/>
        <w:t>[40-50] % [0-5] % [50-60] % 3 11/12</w:t>
        <w:br/>
        <w:t>42. The new entity will hold a market share of [50-60] % with a market share increment of [0-5] points. Three competitors will remain present in the area: Carrefour ([20-30] %), Système U ([10-20] %), and Intermarché ([5-10] %).</w:t>
        <w:br/>
        <w:t>43. If the market share of stores under the E. Leclerc brand in the area will, after the transaction, be slightly above 50 %, the market share increment is approximately 3 points, which reflects a very limited change in the structure of competition in the area. Furthermore, stores under the E. Leclerc brand will represent less than half in number of the hypermarkets present in the area.</w:t>
        <w:br/>
        <w:t>44. In any case, as with the 15-minute catchment area, a competing store with a size equivalent to that of the target, operated under the Super U brand, is located less than ten minutes by car from it38 and the hypermarket under the Carrefour brand operated within the Iroise shopping center in Brest (29), located in the area, has a comparable size to the store operated by Mr. Barral in Gouesnou (29).</w:t>
        <w:br/>
        <w:t>45. Finally, for the same reasons as those set out in paragraph 38 regarding the 15-minute catchment area around the target, the Authority considers that the transaction is not likely to significantly alter the structure of competition taking into account the standalone drive-throughs under the E. Leclerc brand. Specifically regarding the 30-minute catchment area around the target, it further notes that given the number of references and the turnover of the drive-throughs present in the area, they resemble more supermarkets than hypermarkets. They therefore exert even more limited competitive pressure on the hypermarkets included in the relevant market.</w:t>
        <w:br/>
        <w:t>46. Given the presence of significant and credible competitors, the Authority considers that the new entity will not be able to implement a unilateral strategy of price increases or quality reductions in the relevant catchment areas following the transaction.</w:t>
        <w:br/>
        <w:t>47. Furthermore, regarding the risk of competitor eviction by the new entity, for the same reasons as those mentioned in paragraph 40 of this decision, the Authority considers that the transaction is not likely to strengthen either the ability of the E. Leclerc brand to implement the indicated eviction strategy against its competitors in the area or the potential effects of such a strategy39.</w:t>
        <w:br/>
        <w:t>48. In light of these elements, the Authority considers that the transaction does not raise any risk of horizontal effects on the relevant markets.</w:t>
        <w:br/>
        <w:t>39 Supra footnote 37.</w:t>
        <w:br/>
        <w:t>11</w:t>
      </w:r>
    </w:p>
    <w:p>
      <w:r>
        <w:t>DECIDES</w:t>
        <w:br/>
        <w:t>Sole Article: The transaction notified under number 24-322 is authorized.</w:t>
        <w:br/>
        <w:t>The President,</w:t>
        <w:br/>
        <w:t>Benoît Cœuré</w:t>
        <w:br/>
        <w:t>© Competition Authority</w:t>
        <w:br/>
        <w:t>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