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https://www.autoritedelaconcurrence.fr/fr/decision-de-controle-des-concentrations/relative-la-prise-de-controle-conjoint-de-fonds-de-commerce</w:t>
      </w:r>
    </w:p>
    <w:p>
      <w:r>
        <w:t>Pages translated : 2</w:t>
      </w:r>
    </w:p>
    <w:p/>
    <w:p>
      <w:r>
        <w:rPr>
          <w:b/>
        </w:rPr>
        <w:t>[Pages 1–2]</w:t>
      </w:r>
    </w:p>
    <w:p>
      <w:r>
        <w:t xml:space="preserve">FRENCH REPUBLIC  </w:t>
        <w:br/>
        <w:t xml:space="preserve">Decision No. 19-DCC-51 of March 27, 2019  </w:t>
        <w:br/>
        <w:t xml:space="preserve">regarding the joint control acquisition of a hypermarket business by the companies Pafico and Intermarché Entreprises  </w:t>
        <w:br/>
        <w:t xml:space="preserve">The Competition Authority,  </w:t>
        <w:br/>
        <w:t xml:space="preserve">Having regard to the complete notification file submitted to the mergers department on February 22, 2019, concerning the joint control acquisition of a hypermarket business by the companies Pafico and Intermarché Entreprises, formalized by a memorandum of understanding dated December 18, 2018;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of a food-dominant business with an area of 3,850 m² operated under the Intermarché brand in Cavaillon (84) by the companies Pafico and ITM Entreprises.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19-053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