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https://www.autoritedelaconcurrence.fr/fr/decision-de-controle-des-concentrations/relative-la-prise-de-controle-conjoint-de-fonroche-energie</w:t>
      </w:r>
    </w:p>
    <w:p>
      <w:r>
        <w:t>Pages translated : 6</w:t>
      </w:r>
    </w:p>
    <w:p/>
    <w:p>
      <w:r>
        <w:rPr>
          <w:b/>
        </w:rPr>
        <w:t>[Pages 1–3]</w:t>
      </w:r>
    </w:p>
    <w:p>
      <w:r>
        <w:t>FRENCH REPUBLIC</w:t>
        <w:br/>
        <w:t>Decision No. 16-DCC-230 of December 29, 2016</w:t>
        <w:br/>
        <w:t>regarding the joint control of Fonroche Energie by</w:t>
        <w:br/>
        <w:t>InfraVia Capital Partners and Eurazeo</w:t>
        <w:br/>
        <w:t>The Competition Authority,</w:t>
        <w:br/>
        <w:t>Having regard to the notification file submitted in full to the merger service on December 6, 2016,</w:t>
        <w:br/>
        <w:t>regarding the joint control of Fonroche Energie by InfraVia Capital Partners and</w:t>
        <w:br/>
        <w:t>Eurazeo, formalized by an investment agreement dated December 1, 2016, and a</w:t>
        <w:br/>
        <w:t>draft shareholders' agreement dated December 5, 2016;</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companies concerned and the operation</w:t>
        <w:br/>
        <w:t>1. InfraVia Capital Partners is an investment company specialized in the infrastructure sector. It manages funds structured in the form of professional private equity funds and other forms of foreign law vehicles InfraVia FCPI, InfraVia European Fund, InfraVia European Fund III FPCI, and InfraVia European Fund III SCSp (the latter two collectively referred to as "InfraVia European Fund III"). The management company InfraVia Capital Partners is owned by InfraVia Partners (65%) and OFI Asset Management (35%), whose capital is held by MACIF (60.9%), Matmut (25.8%), and Ofivalmo Partenaires (13.3%), with its shareholders lacking veto rights over strategic decisions.</w:t>
      </w:r>
    </w:p>
    <w:p>
      <w:r>
        <w:t>2. Fonroche is the parent company of a group (hereinafter, "Fonroche") active in the field of solar energy. The capital of Fonroche is held by Yann Maus (52%), Eurazeo (39%), and two individuals.</w:t>
      </w:r>
    </w:p>
    <w:p>
      <w:r>
        <w:t>3. Eurazeo is an investment company listed on the NYSE-Euronext Paris stock exchange, with holdings in the sectors of private equity, real estate, and listed companies. The shareholders of Eurazeo are several individuals and legal entities, none of which is able to exert a decisive influence on its strategic decisions.</w:t>
      </w:r>
    </w:p>
    <w:p>
      <w:r>
        <w:t>4. The operation, formalized by an investment agreement dated December 1, 2016, involves the acquisition by InfraVia Capital Partners and Eurazeo, through investment vehicles, of 53.17% and 46.83% of the shares and voting rights of Fonroche, via NewCo, a company created for this purpose. InfraVia Capital Partners and Eurazeo will each have the right to appoint two of the four members of the supervisory committee, which makes decisions relating notably to the annual budget and business plan, investments, and the recruitment of certain directors. These decisions must be taken by majority with the positive votes of a representative of InfraVia Capital Partners and a representative of Eurazeo. Therefore, InfraVia Capital Partners and Eurazeo will have a veto right over strategic decisions and will jointly exert a decisive influence on Fonroche.</w:t>
      </w:r>
    </w:p>
    <w:p>
      <w:r>
        <w:t>5. The operation consists of the joint control of Fonroche by Eurazeo and InfraVia Capital Partners. It therefore constitutes a concentration within the meaning of Article L. 430-1 of the Commercial Code.</w:t>
      </w:r>
    </w:p>
    <w:p>
      <w:r>
        <w:t>6. The companies concerned together generate a total worldwide turnover of over 150 million euros (Eurazeo: […] euros for the fiscal year ending December 31, 2015; InfraVia Capital Partners: […] euros for the fiscal year ending December 31, 2015; Fonroche Energie: […] euros for the fiscal year ending December 31, 2015). Two of them generate in France a turnover exceeding 50 million euros (Eurazeo: […] euros for the fiscal year ending December 31, 2015; Fonroche Energie: […] euros for the fiscal year ending December 31, 2015).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II. Delimitation of the relevant markets</w:t>
        <w:br/>
        <w:t>7. The operation in question concerns the sector of photovoltaic power plants, where the parties to the operation are simultaneously present at different levels of the production chain (development, construction, operation, and maintenance). Furthermore, InfraVia and Fonroche are present upstream in the market for the production and wholesale sale of electricity.</w:t>
        <w:br/>
        <w:t>1 Prior to the operation, Fonroche's geothermal, biogas, and urban lighting activities will be restructured to retain only its manufacturing and installation activities for photovoltaic solutions and photovoltaic energy production.</w:t>
      </w:r>
    </w:p>
    <w:p>
      <w:r>
        <w:t>A. THE PHOTOVOLTAIC SECTOR</w:t>
        <w:br/>
        <w:t>1. PRODUCT MARKET</w:t>
        <w:br/>
        <w:t>8. The Competition Authority has recently considered, while leaving the question open, that the activity of constructing photovoltaic power plants could constitute a sub-segment of the market for civil engineering works and industrial equipment. The Commission has also defined a market concerning wind farms as well as a market for the development, construction, and promotion of wind farms. However, it has left open the questions of the relevance of a narrower definition distinguishing the development and promotion of wind farms for sale to third parties and whether the market for the development, construction, and operation of wind farms included maintenance services. The question of the analogy between wind farms and photovoltaic power plants has also been examined and left open.</w:t>
      </w:r>
    </w:p>
    <w:p>
      <w:r>
        <w:t>9. In this case, InfraVia holds joint control of two companies that respectively have 11 photovoltaic installations in France. Fonroche operates 157 solar power plants. These companies operate installed parks.</w:t>
      </w:r>
    </w:p>
    <w:p>
      <w:r>
        <w:t>10. In any case, the precise definition of the market can be left open as the operation does not raise any competition issues regardless of the market definition retained.</w:t>
      </w:r>
    </w:p>
    <w:p>
      <w:r>
        <w:t>2. GEOGRAPHICAL MARKETS</w:t>
        <w:br/>
        <w:t>11. The decision-making practice has considered that the market for civil engineering works and industrial equipment carried out outdoors was of national dimension.</w:t>
      </w:r>
    </w:p>
    <w:p>
      <w:r>
        <w:t>12. The Commission has left open the definition of geographical markets concerning the market for the development, construction, and operation of wind farms but has examined the operation at the national level.</w:t>
      </w:r>
    </w:p>
    <w:p>
      <w:r>
        <w:t>13. There is no need to challenge the decision-making practice in the context of the present operation, and the analysis will therefore be conducted at the national level.</w:t>
      </w:r>
    </w:p>
    <w:p>
      <w:r>
        <w:rPr>
          <w:b/>
        </w:rPr>
        <w:t>[Pages 4–6]</w:t>
      </w:r>
    </w:p>
    <w:p>
      <w:r>
        <w:t>B. THE CONSTRUCTION OF ENGINEERING STRUCTURES AND INDUSTRIAL EQUIPMENT</w:t>
        <w:br/>
        <w:t>1. SERVICE MARKET</w:t>
        <w:br/>
        <w:t>14. Based on a classification established by the FNTP (National Federation of Public Works), national competition authorities have considered that, given the level of specialization observed for these different categories of work, it is appropriate to distinguish several markets within the public works sector, namely:</w:t>
        <w:br/>
        <w:t>- within road works, the markets for the manufacture of road surfacing products, on the one hand, and a market for the laying of these surfaces, on the other hand;</w:t>
        <w:br/>
        <w:t>- the markets for open-air earthworks (simple and medium and in large mass);</w:t>
        <w:br/>
        <w:t>- the markets for railway track works;</w:t>
        <w:br/>
        <w:t>- the markets for special foundations;</w:t>
        <w:br/>
        <w:t>- the markets for underground network works, piping, and others;</w:t>
        <w:br/>
        <w:t>- the general civil engineering markets, primarily for engineering structures and industrial equipment, civil engineering for plants, civil engineering for water treatment stations and reservoirs, and secondarily, underground works, and thirdly, works in maritime or river sites.</w:t>
        <w:br/>
        <w:t>15. In this case, Fonroche is present in the market for engineering structures and industrial equipment carried out in the open air, and in particular in the segment of constructing photovoltaic power plants.</w:t>
        <w:br/>
        <w:t>16. There is no need to resolve the question of the exact delimitation of the market for engineering structures and industrial equipment, as, regardless of the definition adopted, the conclusions of the competitive analysis will remain unchanged.</w:t>
        <w:br/>
        <w:t>2. GEOGRAPHIC MARKET</w:t>
        <w:br/>
        <w:t>17. Decision-making practice has considered that the market for engineering structures and industrial equipment carried out in the open air is of national dimension. There is no need to challenge the decision-making practice of the Authority in the context of the present operation.</w:t>
        <w:br/>
        <w:t>9 See the decisions of the Competition Authority No. 14-DCC-195 of December 31, 2014, regarding the exclusive control of Juwi EnR by Neoen, No. 09-DCC-43 of the Competition Authority dated September 14, 2009, the opinion of the Competition Council No. 01-A-08 of June 5, 2001, regarding the acquisition of the GTM group by Vinci, as well as the letter from the Minister of Economy dated December 1, 2008, No. C2008-116.</w:t>
        <w:br/>
        <w:t>10 See decision No. 10-DCC-05 of January 21, 2010, regarding the exclusive control of Cari Holding by Fayat.</w:t>
      </w:r>
    </w:p>
    <w:p>
      <w:r>
        <w:t>C. THE PRODUCTION AND WHOLESALE SALE OF ELECTRICITY</w:t>
        <w:br/>
        <w:t>1. SERVICE MARKET</w:t>
        <w:br/>
        <w:t>18. National and community competition authorities generally distinguish the following product markets, from upstream to downstream: (i) production and wholesale sale, (ii) trading, (iii) transport, (iv) distribution, and (v) retail supply of electricity.</w:t>
        <w:br/>
        <w:t>19. The market for the production and wholesale sale of electricity includes, on the supply side, not only the electricity produced by power plants but also electricity imports into France via interconnections. The decision-making practice has not considered it relevant to operate a sub-segmentation within the market for the production and wholesale sale of electricity based on the type of energy.</w:t>
        <w:br/>
        <w:t>20. In this case, InfraVia and Fonroche are present upstream in the market for the production and wholesale sale of electricity. There is no need to challenge the decision-making practice of the Authority in the context of the present operation.</w:t>
        <w:br/>
        <w:t>2. GEOGRAPHIC MARKET</w:t>
        <w:br/>
        <w:t>21. National and European competition authorities have generally considered that the market for the production and wholesale sale of electricity is of national dimension, particularly due to the diversity of the regulatory systems in place.</w:t>
      </w:r>
    </w:p>
    <w:p>
      <w:r>
        <w:t>III. Competitive Analysis</w:t>
        <w:br/>
        <w:t>A. HORIZONTAL EFFECTS</w:t>
        <w:br/>
        <w:t>22. In the market for engineering structures and industrial equipment where Fonroche is solely present, the parties will have a market share of less than [0-5] %.</w:t>
        <w:br/>
        <w:t>23. More specifically, in the market for the development, construction, operation, and maintenance of photovoltaic power plants, the market share of the parties is approximately [0-5] %. These market shares are identical in terms of installed capacity and connected power. Following the operation, the new entity will continue to face numerous competitors such as Engie ([5-10] %), Neoen ([5-10] %), or EDF ([0-5] %).</w:t>
        <w:br/>
        <w:t>11 See in particular the decisions of the European Commission No. COMP/M.5978 GDF Suez/International Power of January 26, 2011; decisions of the Competition Authority No. 11-DCC-119 of July 27, 2011, regarding the joint control of GEG Energies Nouvelles et Renouvelables by CDC and GEG, No. 11-DCC-41 of March 11, 2011, regarding the acquisition of exclusive control by NeoElectra Group of certain assets of SEEM, and No. 12-DCC-51 of April 50, 2012, regarding the acquisition of assets of Photowatt International by EDF Energies Nouvelles Réparties.</w:t>
        <w:br/>
        <w:t>12 See in particular the decision of the European Commission COMP/M.4517 Iberola/Scottish Power of March 26, 2007, and the decision of the Competition Authority No. 11-DCC-119 mentioned above.</w:t>
        <w:br/>
        <w:t>13 See in particular the decision of the European Commission No. COMP/M.5978 and the decisions of the Competition Authority No. 09-DCC-28 and 12-DCC-51 mentioned above.</w:t>
      </w:r>
    </w:p>
    <w:p>
      <w:r>
        <w:t>24. In the market for the production and wholesale sale of electricity, the new entity will have an estimated market share of [0-5] %. Following the operation, the new entity will still face larger competitors such as EDF ([70-80] %), Engie ([5-10] %), or CNR ([0-5] %).</w:t>
        <w:br/>
        <w:t>25. Therefore, the operation is not likely to harm competition in the markets for the development, construction, operation, and maintenance of photovoltaic power plants, nor in the wholesale electricity market.</w:t>
        <w:br/>
        <w:t>B. VERTICAL EFFECTS</w:t>
        <w:br/>
        <w:t>26. A vertical concentration can also restrict competition by making access to the markets where the new entity will be active more difficult, or even potentially excluding competitors or penalizing them by increasing their costs. However, the Authority considers that it is unlikely that a company with a market share of less than 30 % in a given market can lock in a downstream or upstream market.</w:t>
        <w:br/>
        <w:t>27. In the market for the production and wholesale sale of electricity, the new entity will have an estimated market share of [0-5] %.</w:t>
        <w:br/>
        <w:t>28. Any risk of harming competition through vertical effects between the market for photovoltaic power plants and that of production can therefore be ruled out given the low market shares of the parties.</w:t>
        <w:br/>
        <w:t>29. Therefore, the operation is not likely to harm competition in all the relevant markets.</w:t>
      </w:r>
    </w:p>
    <w:p>
      <w:r>
        <w:t>DECIDES</w:t>
        <w:br/>
        <w:t>Sole Article: The operation notified under number 16-264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