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https://www.autoritedelaconcurrence.fr/fr/decision-de-controle-des-concentrations/relative-la-prise-de-controle-conjoint-de-generale-de-sante</w:t>
      </w:r>
    </w:p>
    <w:p>
      <w:r>
        <w:t>Pages translated : 7</w:t>
      </w:r>
    </w:p>
    <w:p/>
    <w:p>
      <w:r>
        <w:rPr>
          <w:b/>
        </w:rPr>
        <w:t>[Pages 1–3]</w:t>
      </w:r>
    </w:p>
    <w:p>
      <w:r>
        <w:t xml:space="preserve">FRENCH REPUBLIC  </w:t>
        <w:br/>
        <w:t xml:space="preserve">Decision No. 14-DCC-141 of September 24, 2014  </w:t>
        <w:br/>
        <w:t xml:space="preserve">regarding the joint control of Générale de Santé  </w:t>
        <w:br/>
        <w:t xml:space="preserve">by Ramsay Health Care and Predica (Crédit Agricole Group)  </w:t>
        <w:br/>
        <w:t xml:space="preserve">The Competition Authority,  </w:t>
        <w:br/>
        <w:t xml:space="preserve">Having regard to the request for referral submitted on July 7, 2014, by Ramsay Health Care UK and Predica and the referral decision of the European Commission of August 4, 2014, made pursuant to Article 4, paragraph 4 of Regulation (EC) No. 139/2004 of the Council;  </w:t>
        <w:br/>
        <w:t xml:space="preserve">Having regard to the complete notification file sent to the merger service on August 20, 2014, regarding the joint control of Générale de Santé by Ramsay Health Care UK and Predica, formalized by a share transfer agreement dated June 10, 2014;  </w:t>
        <w:br/>
        <w:t xml:space="preserve">Having regard to Book IV of the Commercial Code relating to price freedom and competition, and in particular Articles L. 430-1 to L. 430-10;  </w:t>
        <w:br/>
        <w:t xml:space="preserve">Having regard to the additional elements submitted by the parties during the investigation;  </w:t>
        <w:br/>
        <w:t xml:space="preserve">Adopts the following decision:  </w:t>
        <w:br/>
        <w:t xml:space="preserve">I. The concerned companies and the operation  </w:t>
        <w:br/>
        <w:t xml:space="preserve">1. Ramsay Health Care Limited (hereinafter "RHC") is an Australian law company that operates 151 hospitals and outpatient hospital centers in the United Kingdom, Australia, France, Indonesia, and Malaysia. Its subsidiary Ramsay Health Care UK Limited (hereinafter "RHC UK") is one of the leading providers of private healthcare in England with a network of 30 private hospitals. Since 2010, RHC UK has jointly controlled Ramsay Santé with Predica, a French private hospital operator that controls 40 healthcare establishments in France, including 30 clinics specializing in psychiatric care acquired in November 2013.  </w:t>
        <w:br/>
        <w:t xml:space="preserve">1 European Commission Decision No. COMP/M.5794 of March 26, 2010.  </w:t>
        <w:br/>
        <w:t>2 Decision of the Competition Authority No. 13-DCC-166 of November 21, 2013.</w:t>
      </w:r>
    </w:p>
    <w:p>
      <w:r>
        <w:t xml:space="preserve">2. Crédit Agricole Group (hereinafter "GCA") is a French mutual group offering a wide range of banking and insurance services. Prévoyance Dialogue du Crédit Agricole (hereinafter "Predica") is a French insurance company, a subsidiary of Crédit Agricole Assurances, the insurance holding company of GCA.  </w:t>
        <w:br/>
        <w:t xml:space="preserve">3. Générale de Santé SA (hereinafter "GDS") is a private French group offering healthcare and health services. It owns 75 private healthcare establishments in France and one establishment in Italy. GDS is a company listed on compartment B of NYSE Euronext Paris, controlled by the company Santé SA which holds 83.43% of the capital, with the remaining capital being free-floating.  </w:t>
        <w:br/>
        <w:t xml:space="preserve">4. Pursuant to the share transfer agreement dated June 10, 2014, the notified operation consists of the acquisition of […] % of the capital of GDS by RHC UK ([…] %) and Predica ([…] %). The draft shareholders' agreement provides that RHC UK and Predica will each have [confidential]. Thus, as noted by the European Commission, the notified operation results in the acquisition of joint control of GDS by RHC and GCA.  </w:t>
        <w:br/>
        <w:t xml:space="preserve">5. This operation falls under the jurisdiction of the European Union pursuant to Article 1, paragraph 2 of Regulation (EC) No. 139/2004 of the Council on concentrations. Indeed, the concerned companies have jointly achieved a consolidated worldwide turnover of more than 5 billion euros (RHC: […] euros for the fiscal year ending December 31, 2013; GCA: […] euros for the same fiscal year; GDS: […] euros for the same fiscal year). Furthermore, each of them has achieved a turnover in the European Union exceeding 250 million euros (RHC: […] euros for the fiscal year ending December 31, 2013; GCA: […] euros for the same fiscal year; GDS: […] euros for the same fiscal year). Finally, only GCA and GDS have generated more than two-thirds of their turnover in the European Union in a single Member State, France.  </w:t>
        <w:br/>
        <w:t xml:space="preserve">6. However, on July 7, 2014, Predica and RHC UK requested the European Commission, by means of a reasoned memorandum, to refer the operation in its entirety to the Competition Authority, pursuant to Article 4, paragraph 4 of Regulation No. 139/2004 of the Council. By Decision No. COMP/M.7322 dated August 4, 2014, the European Commission considered that the conditions for referral were met. The joint control of GDS by RHC UK and Predica is therefore subject, pursuant to point IV of Article L. 430-2 of the Commercial Code, to French merger control. The notification of the operation was sent to the Competition Authority on August 20, 2014.  </w:t>
        <w:br/>
        <w:t>3 European Commission Decision No. COMP/M.7322 of August 4, 2014.</w:t>
      </w:r>
    </w:p>
    <w:p>
      <w:r>
        <w:t xml:space="preserve">II. Delimitation of Relevant Markets  </w:t>
        <w:br/>
        <w:t xml:space="preserve">The operation involves an overlap of activities in the sector of providing diagnostics and care in healthcare establishments.  </w:t>
        <w:br/>
        <w:t xml:space="preserve">A. DELIMITATION OF SERVICE MARKETS  </w:t>
        <w:br/>
        <w:t xml:space="preserve">7. Regarding the markets for the provision of diagnostics and hospital care in France, national and European decision-making practice considers that it is not relevant to distinguish the offer based on whether it comes from private or public establishments. Indeed, in France, the patient is free to choose their establishment, public or private, without economic consideration since the reimbursement of care does not depend on the status of the establishment where the care was provided. Moreover, the generalization of activity-based pricing and the recourse of patients to complementary insurance tend to increase patients' freedom of choice regarding the establishment in which they wish to be treated. Furthermore, whether public or private, healthcare establishments are intended to accommodate all patients, without economic or social consideration. Finally, all healthcare establishments established in France are subject to a common regulatory and normative framework that defines the conditions for exercising their activity, regulated at the regional level by the Regional Health Agencies (hereinafter "ARS") with which they enter into contracts for objectives and means.  </w:t>
        <w:br/>
        <w:t xml:space="preserve">8. However, the competition authorities distinguish markets for the provision of diagnostics and hospital care by type of activity to take into account the strong specialization of practitioners and the services of healthcare establishments, as well as the necessity for a healthcare establishment to obtain specific authorizations from the ARS for the exercise of certain medical or surgical specialties. The practice has thus considered a broad segmentation by "specialized activity groups" corresponding to the major disciplines defined by the Public Health Code (medicine, surgery, obstetrics, follow-up and rehabilitation care).  </w:t>
        <w:br/>
        <w:t xml:space="preserve">9. The Competition Authority has also considered a narrower segmentation of the markets for diagnostics and hospital care, by "major diagnostic category" (hereinafter "CMD") according to the classification of procedures established by the ARS. The Competition Authority has considered, while leaving the question open, that this segmentation is relevant since it allows for the distinction of all medical procedures performed within healthcare establishments according to both medical and functional criteria, taking into account the parts of the body treated, and economic criteria, with stays or admissions classified in the same group involving the use of similar resources. The Authority has also...  </w:t>
        <w:br/>
        <w:t xml:space="preserve">4 Decision of the Competition Authority No. 14-DCC-79 of June 11, 2014; Decision of the Competition Authority No. 13-DCC-164 of November 21, 2013; Decision of the Competition Authority No. 11-DCC-57 of April 4, 2011; Decision of the Competition Authority No. 11-DCC-37 of March 7, 2011; Decision of the Competition Authority No. 09-DCC-68 of November 25, 2009; Letter No. C2008-115 from the Minister of Economy, Finance and Industry dated December 5, 2008; Letter No. C2006-105 from the Minister of Economy, Finance and Industry dated October 26, 2006; and Letter No. C2005-125 from the Minister of Economy, Finance and Industry dated January 6, 2006 and decisions of the European Commission No. COMP/M.7221 – Bridgepoint Capital/Médi-Partenaires of April 28, 2014; No. COMP/M.5805 – 3i/Vedici Group of May 21, 2010; No. COMP/M.4788 – Rozier/BHS of August 21, 2007; No. COMP/M.4367 – APW/APSA/Nordic Capital/Capio of March 16.  </w:t>
        <w:br/>
        <w:t xml:space="preserve">5 Ibid.  </w:t>
        <w:br/>
        <w:t>6 Decision of the Competition Authority No. 14-DCC-79 of June 11, 2014; Decision of the Competition Authority No. 13-DCC-164 of November 21, 2013; Decision of the Competition Authority No. 11-DCC-57 of April 4, 2011; Decision of the Competition Authority No. 11-DCC-37 of March 7, 2011; Decision of the Competition Authority No. 09-DCC-68 of November 25, 2009.</w:t>
      </w:r>
    </w:p>
    <w:p>
      <w:r>
        <w:rPr>
          <w:b/>
        </w:rPr>
        <w:t>[Pages 4–6]</w:t>
      </w:r>
    </w:p>
    <w:p>
      <w:r>
        <w:t>considered sub-segmenting each of the CMDs based on the presence of a surgical procedure or not (hereinafter "AO" in the presence of a surgical procedure and "ANO" in the absence of a surgical procedure).</w:t>
      </w:r>
    </w:p>
    <w:p>
      <w:r>
        <w:t>10. Finally, the competition authorities questioned the existence of distinct markets for the provision of home hospitalization on the one hand and the provision of dialysis care. Regarding dialysis activities, it follows from European decision-making practice that this type of care is not likely to be distinguished from other comparable hospital care offerings.</w:t>
      </w:r>
    </w:p>
    <w:p>
      <w:r>
        <w:t>11. In this case, all the delimitations considered by the practice will be examined within the framework of the analysis of the effects of the operation. In any event, the question of the exact definition of the markets for the provision of diagnostics and hospital care can be left open insofar as the conclusions of the analysis will remain unchanged regardless of the delimitation retained.</w:t>
      </w:r>
    </w:p>
    <w:p>
      <w:r>
        <w:t>B. GEOGRAPHICAL DELIMITATION OF MARKETS</w:t>
      </w:r>
    </w:p>
    <w:p>
      <w:r>
        <w:t>12. The European Commission, without definitively resolving the issue, suggests that the markets for the provision of diagnostics and hospital care have a local dimension extending to a radius corresponding to a 30-minute car journey.</w:t>
      </w:r>
    </w:p>
    <w:p>
      <w:r>
        <w:t>13. National decision-making practice, taking into account the regulatory instruments used by the ARS, consistently considers that the markets for the provision of diagnostics and hospital care have a local, departmental, or regional dimension, the scope of which depends on the specialty concerned by the studied healthcare market. The competition authorities have notably observed that the size of the areas from which patients originate varies significantly, not only depending on the establishment and the medical-surgical specialties practiced there but also depending on the region considered, its population density, and its level of healthcare establishment equipment. The coverage by health insurance of transportation costs incurred by certain patients tends to increase their willingness to travel. The Competition Authority has thus noted in its decision n° 14-DCC-799 that in the departments of Var and Aude, the average journey time for a patient to reach a healthcare establishment is between 30 minutes and one hour.</w:t>
      </w:r>
    </w:p>
    <w:p>
      <w:r>
        <w:t>14. National decision-making practice also consistently considers that the Île-de-France region constitutes a unique geographical market and that it is not relevant to distinguish inner Paris from neighboring departments. It indeed notes that Île-de-France is characterized by a very high mobility of patients, particularly given the extensive offer of healthcare establishments and the existence of regional, if not national, attraction centers. The information provided by the parties confirms the approach taken by the practice.</w:t>
      </w:r>
    </w:p>
    <w:p>
      <w:r>
        <w:t>15. In this case, all the delimitations considered by the practice will be examined within the framework of the analysis of the effects of the operation. In any event, the question of the exact geographical delimitation of the markets for the provision of diagnostics and hospital care can be left open insofar as the conclusions of the analysis will remain unchanged regardless of the hypothesis retained.</w:t>
      </w:r>
    </w:p>
    <w:p>
      <w:r>
        <w:t>III. Competitive Analysis</w:t>
      </w:r>
    </w:p>
    <w:p>
      <w:r>
        <w:t>A. INTRODUCTION</w:t>
      </w:r>
    </w:p>
    <w:p>
      <w:r>
        <w:t>16. To estimate market shares, the notifying party used the national public database of the medicalization program of the information systems of the technical agency for information on hospitalization, which compiles statistics from French healthcare establishments.</w:t>
      </w:r>
    </w:p>
    <w:p>
      <w:r>
        <w:t>17. The competitive analysis will therefore primarily rely on the examination of the market shares of the parties in areas corresponding to the regional and departmental delimitations.</w:t>
      </w:r>
    </w:p>
    <w:p>
      <w:r>
        <w:t>18. As noted by the Authority in its decision n° 14-DCC-79, the examination of the horizontal effects of the operation must also take into account the specific pricing mechanisms in the relevant markets. Indeed, the rates for healthcare services provided by public and private establishments are regulated and set annually at the national level, according to an activity-based pricing system (known as "T2A"). Each healthcare activity corresponds to a flat-rate price for the service that the establishment can charge. The notifying parties confirm that healthcare establishments cannot deviate from these rates. Additional fees for medical procedures are solely at the initiative of the practitioners and not of the establishment in which they carry out their activities. Consequently, private clinics cannot unilaterally increase the rates of the contracted care they provide. These flat rates concern the majority of healthcare services. For the rest, ancillary services (known as "hotel services") remain at the discretion of the establishments.</w:t>
      </w:r>
    </w:p>
    <w:p>
      <w:r>
        <w:t>19. To assess the parties' ability to degrade the quality of the care offered as well as the effects of the operation on the segment where the parties retain pricing flexibility, it is necessary to examine the competitive proximity of the parties' establishments and the actual behavior of patients in choosing their healthcare establishments in the relevant local areas.</w:t>
      </w:r>
    </w:p>
    <w:p>
      <w:r>
        <w:t>20. At the regional level, the activities of Predica and RHC UK, exercised through Ramsay Santé, and of GDS in the sector of providing diagnostics and hospital care overlap in the Rhône-Alpes and Île-de-France regions. Ramsay Santé and GDS also both own establishments in the regions of Bourgogne, Provence-Alpes-Côte d’Azur, Nord-Pas de Calais, Haute Normandie, Bretagne, and Centre. However, the only activity carried out by Ramsay Santé's establishments in these regions is psychiatric care, which GDS does not provide. In this context, for these regions, there is no overlap of activity between Ramsay Santé and GDS.</w:t>
      </w:r>
    </w:p>
    <w:p>
      <w:r>
        <w:t>B. EFFECTS OF THE OPERATION AT THE LOCAL LEVEL</w:t>
      </w:r>
    </w:p>
    <w:p>
      <w:r>
        <w:t>21. In the Rhône-Alpes region, Ramsay Santé owns a single hospital care establishment located in the department of Ain. GDS is also present in this region through 10 establishments, all located outside of Ain. The operation therefore involves an overlap of activity at the regional level. Nevertheless, regardless of the segmentation retained, the market shares of the new entity following the concentration will remain moderate and below [20-30]%. The operation is therefore not likely to harm competition through horizontal effects in the Rhône-Alpes markets for the provision of diagnostics and hospital care.</w:t>
      </w:r>
    </w:p>
    <w:p>
      <w:r>
        <w:t>22. In the Île-de-France region, Ramsay Santé owns 9 hospital care centers. GDS is also present in this region through 29 establishments.</w:t>
      </w:r>
    </w:p>
    <w:p>
      <w:r>
        <w:t>23. In the Île-de-France markets for the provision of diagnostics and hospital care segmented by "specialized activity groups," the parties are simultaneously active in all segments identified by the practice except for psychiatry. In each of the relevant segments, the market share of the new entity will remain below [20-30]%.</w:t>
      </w:r>
    </w:p>
    <w:p>
      <w:r>
        <w:t>24. If a narrower segmentation by major diagnostic category is retained, the operation involves an overlap in CMDs 1 to 27. In these segments, the market share of the new entity will remain below 25%. It will also continue to face competition from numerous operators, among which the Assistance publique – Hôpitaux de Paris ("AP-HP") is prominent.</w:t>
      </w:r>
    </w:p>
    <w:p>
      <w:r>
        <w:t>25. Given the above, the operation is not likely to harm competition through horizontal effects in the Île-de-France markets for the provision of diagnostics and hospital care.</w:t>
      </w:r>
    </w:p>
    <w:p>
      <w:r>
        <w:rPr>
          <w:b/>
        </w:rPr>
        <w:t>[Pages 7–7]</w:t>
      </w:r>
    </w:p>
    <w:p>
      <w:r>
        <w:t xml:space="preserve">DECIDES  </w:t>
        <w:br/>
        <w:t xml:space="preserve">Sole Article: The operation notified under number 14-124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