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https://www.autoritedelaconcurrence.fr/fr/decision-de-controle-des-concentrations/relative-la-prise-de-controle-conjoint-de-la-sa-dhlm</w:t>
      </w:r>
    </w:p>
    <w:p>
      <w:r>
        <w:t>Pages translated : 2</w:t>
      </w:r>
    </w:p>
    <w:p/>
    <w:p>
      <w:r>
        <w:rPr>
          <w:b/>
        </w:rPr>
        <w:t>[Pages 1–2]</w:t>
      </w:r>
    </w:p>
    <w:p>
      <w:r>
        <w:t xml:space="preserve">FRENCH REPUBLIC  </w:t>
        <w:br/>
        <w:t xml:space="preserve">Decision No. 18-DCC-104 of June 20, 2018  </w:t>
        <w:br/>
        <w:t>regarding the joint control acquisition of SA d’HLM Maisons &amp; Cités by CDC Habitat and Epic Épinorpa</w:t>
      </w:r>
    </w:p>
    <w:p>
      <w:r>
        <w:t>The Competition Authority,</w:t>
      </w:r>
    </w:p>
    <w:p>
      <w:r>
        <w:t>Having regard to the complete notification file submitted to the mergers department on May 25, 2018, concerning the joint control acquisition of SA d’HLM Maisons &amp; Cités by CDC Habitat and Epic Épinorpa, and formalized by a letter from the vice-president of Epic Épinorpa addressed to CDC Habitat, dated May 25, 2018;</w:t>
      </w:r>
    </w:p>
    <w:p>
      <w:r>
        <w:t>Having regard to Book IV of the Commercial Code relating to the freedom of prices and competition, and in particular its Articles L. 430-1 to L. 430-7;</w:t>
      </w:r>
    </w:p>
    <w:p>
      <w:r>
        <w:t>Having regard to the additional elements provided by the parties during the investigation;</w:t>
      </w:r>
    </w:p>
    <w:p>
      <w:r>
        <w:t>Adopts the following decision:</w:t>
      </w:r>
    </w:p>
    <w:p>
      <w:r>
        <w:t>1. The notified operation consists of the joint control acquisition by CDC Habitat, through its subsidiary Adestia, and by Epic Épinorpa, of SA d’HLM Maisons &amp; Cités. It constitutes a concentration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2. The markets concerned by the operation are those of real estate services. These markets are consistently defined by the decision-making practice of the Competition Authority.</w:t>
      </w:r>
    </w:p>
    <w:p>
      <w:r>
        <w:t>3. Regardless of the segmentations retained, the addition of the market shares of the parties does not exceed 2%.</w:t>
      </w:r>
    </w:p>
    <w:p>
      <w:r>
        <w:t>4. Considering the elements of the file and in particular point 398 of the guidelines of the Competition Authority regarding the control of concentrations, the operation is not likely to harm competition.</w:t>
      </w:r>
    </w:p>
    <w:p>
      <w:r>
        <w:t xml:space="preserve">DECIDES  </w:t>
        <w:br/>
        <w:t xml:space="preserve">Sole Article: The operation notified under number 18-101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