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https://www.autoritedelaconcurrence.fr/fr/decision-de-controle-des-concentrations/relative-la-prise-de-controle-conjoint-de-la-scic-domaxia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20-DCC-178 of December 8, 2020  </w:t>
        <w:br/>
        <w:t xml:space="preserve">regarding the joint control acquisition of SCIC Domaxia-Logial by  </w:t>
        <w:br/>
        <w:t xml:space="preserve">the Territorial Public Establishment Grand Paris Sud Est Avenir, the city  </w:t>
        <w:br/>
        <w:t>of Alfortville, and Arcade-VYV</w:t>
      </w:r>
    </w:p>
    <w:p>
      <w:r>
        <w:t>The Competition Authority,</w:t>
      </w:r>
    </w:p>
    <w:p>
      <w:r>
        <w:t xml:space="preserve">Having regard to the complete notification file sent to the mergers department on  </w:t>
        <w:br/>
        <w:t xml:space="preserve">November 12, 2020, concerning the joint control acquisition of SCIC Domaxia-Logial by  </w:t>
        <w:br/>
        <w:t xml:space="preserve">the Territorial Public Establishment Grand Paris Sud Est Avenir (hereinafter, "EPT GPSEA"), the city  </w:t>
        <w:br/>
        <w:t xml:space="preserve">of Alfortville, and Arcade-VYV, formalized by a draft shareholders' agreement approved by  </w:t>
        <w:br/>
        <w:t xml:space="preserve">resolutions of EPT GPSEA, the city of Alfortville, and Arcade-VYV dated,  </w:t>
        <w:br/>
        <w:t>respectively, July 22, 2020, October 8, 2020, and January 15, 2020;</w:t>
      </w:r>
    </w:p>
    <w:p>
      <w:r>
        <w:t xml:space="preserve">Having regard to Book IV of the Commercial Code relating to price and competition freedom, and  </w:t>
        <w:br/>
        <w:t>notably its Articles L. 430-1 to L. 430-7;</w:t>
      </w:r>
    </w:p>
    <w:p>
      <w:r>
        <w:t>Having regard to the elements submitted by the notifying party during the investigation;</w:t>
      </w:r>
    </w:p>
    <w:p>
      <w:r>
        <w:t xml:space="preserve">Adopts the following decision:  </w:t>
        <w:br/>
        <w:t xml:space="preserve">1. The notified operation consists of the joint control acquisition of SCIC Domaxia-Logial by  </w:t>
        <w:br/>
        <w:t xml:space="preserve">EPT GPSEA, the city of Alfortville, and Arcade-VYV. The parties to the operation are notably  </w:t>
        <w:br/>
        <w:t xml:space="preserve">active, in Île-de-France, in the real estate services sector, particularly in the management  </w:t>
        <w:br/>
        <w:t xml:space="preserve">of social housing, and, concerning the city of Alfortville and Arcade-VYV, in the market  </w:t>
        <w:br/>
        <w:t xml:space="preserve">for long-term accommodation for elderly persons. The operation constitutes a concentration  </w:t>
        <w:br/>
        <w:t xml:space="preserve">operation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point 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20-198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