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https://www.autoritedelaconcurrence.fr/fr/decision-de-controle-des-concentrations/relative-la-prise-de-controle-conjoint-de-la-sedre-par-la</w:t>
      </w:r>
    </w:p>
    <w:p>
      <w:r>
        <w:t>Pages translated : 11</w:t>
      </w:r>
    </w:p>
    <w:p/>
    <w:p>
      <w:r>
        <w:rPr>
          <w:b/>
        </w:rPr>
        <w:t>[Pages 1–3]</w:t>
      </w:r>
    </w:p>
    <w:p>
      <w:r>
        <w:t>FRENCH REPUBLIC</w:t>
        <w:br/>
        <w:t>Decision No. 21-DCC-215 of December 3, 2021</w:t>
        <w:br/>
        <w:t>regarding the joint control of SEDRE by the company Action Logement Immobilier and the municipality of Saint-Paul</w:t>
        <w:br/>
        <w:t>The Competition Authority,</w:t>
        <w:br/>
        <w:t>Having regard to the notification file submitted in full to the merger service on October 28, 2021, regarding the joint control of SEDRE by the company Action Logement Immobilier and the municipality of Saint-Paul, formalized by a shareholders' agreement concluded between the municipality of Saint-Paul and Action Logement Immobilier on December 6, 2019, and by a letter of intent to purchase shares sent by Action Logement Immobilier to the French Development Agency on October 9, 2020;</w:t>
        <w:br/>
        <w:t>Having regard to Book IV of the Commercial Code relating to the freedom of prices and competition, and in particular its Articles L. 430-1 to L. 430-7;</w:t>
        <w:br/>
        <w:t>Having regard to the elements submitted by the notifying parties during the investigation;</w:t>
        <w:br/>
        <w:t>Adopts the following decision:</w:t>
      </w:r>
    </w:p>
    <w:p>
      <w:r>
        <w:t>I. The Companies Concerned and the Operation</w:t>
        <w:br/>
        <w:t>1. The company Action Logement Immobilier is exclusively controlled by the company Action Logement Groupe (hereinafter, "ALG"), the umbrella company of the Action Logement group. This group manages the employers' contribution to the construction effort established in 1953. Action Logement's activities are centered around two main axes: (i) the construction and financing of social and intermediate housing, primarily in areas with high real estate pressure, and (ii) supporting employees in their residential and professional mobility, notably through the provision of services or financial assistance for young workers in mobility or difficulty. In 2020, the Action Logement group managed over one million housing units, including 966,127 social housing units and 66,372 intermediate and various housing units. Action Logement Immobilier, a subsidiary of the Action Logement group, is governed by Articles L.313-20 and following of the Construction and Housing Code (hereinafter "CCH"). Its activities include organizing the holdings of its parent company in social housing companies, and it thus holds the shares of all the real estate subsidiaries of ALG. In Réunion, Action Logement Immobilier is active in the social rental housing sector through its subsidiary the Société d’habitations à Loyer Modéré de la Réunion (hereinafter "SHLMR"). This subsidiary is also active in the management of real estate assets on behalf of third parties as well as in property management. Before the operation, Action Logement Immobilier held 30.99% of the target.</w:t>
        <w:br/>
        <w:t>2. The municipality of Saint-Paul, located in Réunion, is a local authority. In this capacity, it is responsible for issues related to housing and land use planning, particularly social housing. It holds the local public company Tamarun, which aims to contribute to the economic and tourist development of the western micro-region of Réunion. The municipality also holds the public company Ti Baba, whose purpose is to contribute to the development of early childhood and childhood. Before the operation, the municipality of Saint-Paul held 34.02% of the target.</w:t>
        <w:br/>
        <w:t>3. The Société d’Équipement du Département de la Réunion (hereinafter "SEDRE" or "the target") carries out, in Réunion, activities as a social landlord, real estate developer, and service provider for mandates, land operator contracts, and project management. Currently, it is held by the municipality of Saint-Paul (34.02%), by Action Logement Immobilier (30.99%), by the Caisse des Dépôts et des Consignations (11.69%), by the department of Réunion (10.62%), by various municipalities (7.80%), by the French Development Agency (3.12%), and by the Chamber of Agriculture (0.30%). Before the operation, SEDRE is not controlled within the meaning of merger law.</w:t>
        <w:br/>
        <w:t>4. The operation consists of an increase in Action Logement Immobilier's stake in the capital of SEDRE. Thus, Action Logement Immobilier will acquire the shares held by the French Development Agency. This acquisition will allow Action Logement Immobilier to hold 34.11% of the capital of SEDRE1. Concurrently with this capital increase, it is planned that Action Logement Immobilier and the municipality of Saint-Paul will jointly create, via a shareholders' agreement, a coordination committee, in order to coordinate their decisions and votes within the board of directors and general meetings.</w:t>
        <w:br/>
        <w:t>1 Ultimately, it is planned that the municipality of Saint-Paul will acquire 35 shares in order to have the same number of shares as Action Logement Immobilier.</w:t>
      </w:r>
    </w:p>
    <w:p>
      <w:r>
        <w:t>This coordination committee will meet, in particular, to adopt the target's budget, its multi-year development plan, its investment and asset management policy, and the appointment of the general director2. The purpose of this committee is to jointly achieve a majority allowing for the making and/or blocking of strategic decisions relating to the target. Thus, it follows from the agreement that in the event of disagreement between Action Logement Immobilier and the municipality of Saint-Paul, each holds a negative veto right in that if one of the parties opposes a decision, it will not be adopted3. Finally, it follows that the other shareholders cannot, alone, exert a determining influence on SEDRE.</w:t>
        <w:br/>
        <w:t>5. As it results in the joint control of SEDRE by Action Logement Immobilier and the municipality of Saint-Paul, the notified operation constitutes a concentration within the meaning of Article L. 430-1 of the Commercial Code.</w:t>
        <w:br/>
        <w:t>6. The companies concerned together achieve a total worldwide turnover of more than 75 million euros (Action Logement Immobilier: 6.5 billion euros for the fiscal year ending December 31, 2020; Municipality of Saint-Paul: 8.3 million euros for the same fiscal year; SEDRE: 45.6 million euros for the same fiscal year). Two of these companies achieve, in the department of Réunion, a turnover exceeding 15 million euros (Action Logement Immobilier: 156 million euros for the fiscal year ending December 31, 2020; Municipality of Saint-Paul: 8.3 million euros for the same fiscal year; SEDRE: 45.6 million euros for the same fiscal year).</w:t>
        <w:br/>
        <w:t>7. Given these turnover figures, the operation does not fall under the jurisdiction of the European Union. However, the control thresholds mentioned in III of Article L. 430-2 of the Commercial Code are exceeded. The present operation is therefore subject to the provisions of Articles L.430-3 and following of the Commercial Code relating to economic concentration.</w:t>
        <w:br/>
        <w:t>2 Article 4.2 of the shareholders' agreement between the municipality of Saint-Paul and Action Logement Immobilier.</w:t>
        <w:br/>
        <w:t>3 […].</w:t>
        <w:br/>
        <w:t>* Correction of material error.</w:t>
      </w:r>
    </w:p>
    <w:p>
      <w:r>
        <w:rPr>
          <w:b/>
        </w:rPr>
        <w:t>[Pages 4–6]</w:t>
      </w:r>
    </w:p>
    <w:p>
      <w:r>
        <w:t>II. Delimitation of Relevant Markets</w:t>
        <w:br/>
        <w:t>8. The parties are simultaneously active in the real estate services markets.</w:t>
        <w:br/>
        <w:t>A. SERVICE MARKET</w:t>
        <w:br/>
        <w:t>9. National4 and European5 competition authorities have considered different segmentations in the real estate services sector according to (i) the recipients of the services (individuals or businesses), (ii) the pricing method (free residential real estate and subsidized social or intermediate housing), (iii) the type of activity conducted on the premises (offices, commercial premises, and other activity premises), and (iv) the nature of the services or goods offered.</w:t>
        <w:br/>
        <w:t>10. Regarding segmentation according to the nature of the services or goods offered, decision-making practice has considered, while leaving the question open, a distinction between:</w:t>
        <w:br/>
        <w:t>- real estate development, which includes the activities of construction and sale of real estate;</w:t>
        <w:br/>
        <w:t>- self-managed real estate asset management;</w:t>
        <w:br/>
        <w:t>- third-party real estate asset management;</w:t>
        <w:br/>
        <w:t>- property management, which covers the activities of managing properties on behalf of owners and can be segmented between rental management and condominium management;</w:t>
        <w:br/>
        <w:t>- real estate appraisal;</w:t>
        <w:br/>
        <w:t>- real estate consulting;</w:t>
        <w:br/>
        <w:t>- intermediation in real estate transactions, within which a distinction can be made between the sale and rental of properties6.</w:t>
        <w:br/>
        <w:t>11. Within the self-managed residential real estate asset management, the Minister of Economy has considered it appropriate to distinguish "the management of social housing, insofar as this activity evolves within a specific regulatory framework, through which the State plays an important role, both in terms of financial assistance and allocation of housing"7. This distinction remains relevant.</w:t>
        <w:br/>
        <w:t>12. Furthermore, regarding the market for residential real estate development, decision-making practice8 has considered distinguishing residential real estate development from real estate development for business premises.</w:t>
        <w:br/>
        <w:t>13. The question of the exact delimitation of the service markets concerned by the operation can, however, be left open, as the conclusions of the competitive analysis remain unchanged, regardless of the segmentation adopted.</w:t>
        <w:br/>
        <w:t>14. In this case, the acquirers and the target are simultaneously present in the market for the holding and self-management of social rental housing, the market for the holding and self-management of commercial premises, and the market for real estate development.</w:t>
        <w:br/>
        <w:t>B. GEOGRAPHICAL MARKETS</w:t>
        <w:br/>
        <w:t>15. According to the aforementioned decision-making practice, markets related to the real estate sector are generally of a local dimension, particularly considering the differences between regions and regional metropolises in terms of prices and demand in real estate.</w:t>
        <w:br/>
        <w:t>16. For regions outside Île-de-France, competition authorities have conducted their competitive analyses at the regional or sub-regional level9. In its recent decisions, the Authority has thus examined the effects of operations at the level of agglomerations10.</w:t>
        <w:br/>
        <w:t>17. The question of the exact delimitation of the geographical markets concerned by the operation can, however, be left open, as the conclusions of the competitive analysis remain unchanged, regardless of the segmentation adopted.</w:t>
        <w:br/>
        <w:t>18. In this case, the activities of the acquirers and the target overlap in Réunion. The analyses will therefore be conducted at the level of the Réunion region. Analyses will also be conducted at the level of agglomerations, that is, at the level of the territories of public intercommunal cooperation establishments ("EPCI")11.</w:t>
        <w:br/>
        <w:t>19. The combined market share of Action Logement Immobilier and SEDRE exceeds 25%, but is consistently below 50%, with an addition of market shares exceeding 2 points, in the region of Réunion and in the following local areas: the intercommunal community of Northern Réunion (hereinafter "CINOR") and the intercommunal community of Eastern Réunion (hereinafter "CIREST") 12.</w:t>
        <w:br/>
        <w:t>20. In the region of Réunion, the market share of the new entity is [30-40]% with an addition of market shares resulting from the operation of 5.4 points. It will face other competitors, such as the Caisse des Dépôts et Consignations Habitat (hereinafter "CDCH") whose market share is [40-50]%.</w:t>
        <w:br/>
        <w:t>21. In the territory of CINOR, the market share of the new entity is [30-40]% with an addition of market shares resulting from the operation of 4.9 points. It will also face other competitors, such as CDCH whose market share is [60-70]%.</w:t>
        <w:br/>
        <w:t>22. Finally, in the territory of CIREST, the market share of the new entity is [30-40]% with an addition of market shares resulting from the operation of 3 points. It will also face other competitors, such as CDCH and the Société d'Économie Mixte d'Aménagement et de Construction (hereinafter "SEMAC") whose market shares are [30-40]% and [30-40]%, respectively.</w:t>
        <w:br/>
        <w:t>23. Thus, in these areas, the new entity will continue to face pressure from competing social housing operators, whose offerings represent credible and sufficient alternatives for housing seekers compared to those of the new entity, so that any horizontal competition issue can be ruled out in the aforementioned areas.</w:t>
        <w:br/>
        <w:t>24. The combined market share of Action Logement and the target exceeds 50% in the area of the intercommunal community of Western Réunion (hereinafter "TCO").</w:t>
        <w:br/>
        <w:t>25. In this area, the new market share reaches [50-60]% with an addition of market share of 12.7 points.</w:t>
        <w:br/>
        <w:t>26. Given this high level of market share, which, as highlighted in paragraph 622 of the Authority's guidelines, may suggest the possession of significant market power, it is necessary to assess the effects of the operation in light of the economic and regulatory characteristics of the concerned markets.</w:t>
        <w:br/>
        <w:t>12 The activities of the parties also overlap in the Community of Solidarity Cities. However, the market share of the new entity in this area will be below 40% with an addition of market shares resulting from the operation of less than 1 point.</w:t>
      </w:r>
    </w:p>
    <w:p>
      <w:r>
        <w:rPr>
          <w:b/>
        </w:rPr>
        <w:t>[Pages 7–9]</w:t>
      </w:r>
    </w:p>
    <w:p>
      <w:r>
        <w:t>On the Regulatory Framework Applicable to Social Housing Organizations</w:t>
        <w:br/>
        <w:t>27. The decision-making practice of the Authority13 has, on several occasions, detailed the regulatory framework applicable to social housing organizations.</w:t>
        <w:br/>
        <w:t>28. Firstly, the allocation of social housing by landlords is governed by a body of rules whose compliance is ensured by public authorities, which prohibits landlords from selecting tenants in a discriminatory manner, regardless of the competitive position of the social landlord in the relevant market. Under these conditions, the operation is not likely to affect the choice of tenants by the parties to the operation.</w:t>
        <w:br/>
        <w:t>29. Secondly, rents are set by rent control agreements (hereinafter "APL agreements") which are concluded between the State and social landlords, on a case-by-case basis. They are governed by Article L. 831-1 of the Construction and Housing Code. These agreements set the ceiling rents, which are revised each year on January 1st based on the Rent Reference Index from the second quarter of the previous year. The maximum values of the ceiling rents are set each year. They are differentiated by territory based on the pressure in these territories and by social housing type. The ceiling rents of the APL agreements are subject to modulation based on, among other factors, the average size of the housing units, the quality of service, and energy performance. Therefore, APL agreements constitute a framework that strictly determines the ceiling rent levels for the relevant housing units.</w:t>
        <w:br/>
        <w:t>30. Rents cannot exceed the amounts set by this legal and regulatory framework. However, they may be set below these amounts. The ministry responsible for housing has indicated that it is regularly observed that social landlords set their rents below the ceilings.</w:t>
        <w:br/>
        <w:t>31. Thirdly, regarding the quality of the social housing service provided by the landlord, the social utility agreements (hereinafter "CUS") concluded between the State and landlords provide for quality indicators that focus on production, renovation, management efficiency, and housing allocations, in order to meet housing objectives for the most disadvantaged and social mix. Furthermore, the mandatory chapter of the CUS includes elements related to the quality of rental management and tenant services. These commitments particularly concern the process for handling tenant complaints, the existence and frequency of a tenant satisfaction survey, as well as certification or labeling schemes regarding service quality obtained by the organization. They also include data on the number of housing units accessible to persons with reduced mobility in the relevant stock or the number of rehabilitated housing units renovated to meet the required energy performance standards.</w:t>
        <w:br/>
        <w:t>32. Compliance with the entire constrained framework just described, regarding rents and the quality of the social housing service, is ensured by public authorities, notably the State, which ensures that social landlords comply with the regulatory and legislative provisions applicable to them, both in terms of asset management and for housing allocations and rental management. When discrepancies are observed, after a contradictory procedure and upon the proposal of the board of directors, administrative sanctions14 may be proposed by the National Agency for the Control of Social Housing to the minister responsible for housing.</w:t>
        <w:br/>
        <w:t>33. These various elements are therefore likely to compel the parties, once the operation is completed, to maintain a certain standard of quality in the offer provided to tenants. However, both regarding the level of rents and the quality of services offered to tenants, the applicable regulatory framework sets a reference standard. It is therefore permissible for operators to set the rents of housing units at a level below the ceiling or to offer enhanced services compared to the quality standard resulting from the CUS, notably under the influence of competitive pressure from rival operators.</w:t>
        <w:br/>
        <w:t>34. Given this situation, the Authority believes that the regulatory framework applicable to the social housing sector is not, by itself, sufficient to eliminate any risk of anti-competitive effects related to the operation.</w:t>
        <w:br/>
        <w:t>The Limited Effects of Competitive Dynamics Due to Reduced Consumer Arbitrage Capabilities in Tense Areas</w:t>
        <w:br/>
        <w:t>35. Given the specificity of the mechanism for allocating social housing, the Competition Authority also questioned the ability of prospective tenants to arbitrate between the offers of social landlords. Indeed, in the absence of such an arbitrage capability, the market structure would not have any consequence on the incentives of social landlords to improve their offer in terms of quality and, to some extent, price, and the operation would therefore have no effect on the relevant market.</w:t>
        <w:br/>
        <w:t>36. However, applicants for social housing submit their housing requests through the national registration system (hereinafter "SNE"), which consolidates, within a single file, all applicants for social housing.</w:t>
        <w:br/>
        <w:t>37. In previous decisions, the Authority noted that the Ministry of Housing described the functioning of the SNE as follows: "Each request is followed by events that are recorded electronically by shared management and accessible to all landlords. [In principle], if a landlord has offered a housing unit, this will be recorded as an event in the system, and another landlord will not practically offer another housing unit at the same time." However, the Authority has already noted that a candidate for social housing may find themselves in an arbitrage situation if multiple landlords offer a housing unit to the same candidate from the SNE file15.</w:t>
        <w:br/>
        <w:t>38. The Authority noted that such a scenario is unlikely in particularly "tense" areas, characterized by a significant imbalance between the volume of available supply and demand. On the contrary, such an arbitrage situation cannot be ruled out in "non-tense" areas, especially since the refusal of housing following an offer from a social landlord does not necessarily have consequences for future housing allocations.</w:t>
        <w:br/>
        <w:t>39. To determine whether the area concerned by the operation exhibited the characteristics of a tense area, the notifying party relied, in particular, on data provided by the Ministry of Ecological Transition which, in November 202016, indicated that a vacancy rate is considered high when it exceeds 5% and low when it is below 2%. Such a vacancy rate for housing is indeed an indicator of a deficit of social housing relative to demand, and thus, of a significant imbalance between it and the volume of available supply.</w:t>
        <w:br/>
        <w:t>40. It is therefore based on these vacancy rates that the analysis of the effects of the present operation was conducted.</w:t>
        <w:br/>
        <w:t>41. In the TCO area, the current vacancy rate of the parties' housing does not exceed [0-2]% for SEDRE and [2-5]% for ALI. As for the vacancy rate of more than three months, it does not exceed [0-2]% for SEDRE and [0-2]% for ALI.</w:t>
        <w:br/>
        <w:t>42. Furthermore, to determine whether the areas concerned by the operation exhibited the characteristics of "tense" areas, the Authority also relies on the classification resulting from the so-called "Pinel" law17, considering as "tense" the municipalities classified under said law in zones A and B1 and as "non-tense" the municipalities classified in zones B2 and C. In 2021, Réunion, and thus the TCO area, is classified in zone B118.</w:t>
        <w:br/>
        <w:t>43. The elements developed above therefore reflect a situation of significant imbalance between the supply of social housing and demand in the TCO area, which can be qualified as a "tense" area. As a result, even before the operation, in this area, the arbitrage of social housing applicants is limited by the low volume of available supply. Indeed, given this pre-existing structural situation prior to the operation, applicants for social housing in Réunion are not incentivized to refuse a social housing unit and thus, ultimately, to arbitrate between multiple offers. The change in market structure after the operation will therefore not have any specific consequence on Action Logement's incentives to modify the conditions of its housing offer in light of the disappearance of the competitive pressure exerted on it by the offer of the target.</w:t>
        <w:br/>
        <w:t>44. It follows from the above that the notified operation is not likely to harm competition through horizontal effects in the market for the ownership and self-management of social rental housing in the TCO area.</w:t>
        <w:br/>
        <w:t>45. Any risk of harm to competition in the market for the ownership and self-management of social rental housing in Réunion and in the EPCI where the parties' activities overlap can therefore be ruled out.</w:t>
        <w:br/>
        <w:t>2. THE MARKET FOR THE OWNERSHIP AND SELF-MANAGEMENT OF COMMERCIAL PREMISES</w:t>
        <w:br/>
        <w:t>46. In this segment, the operation leads to an overlap between the activities of SEDRE and that of the acquirer, via SHLMR, in the Réunion region.</w:t>
        <w:br/>
        <w:t>47. However, according to the notifying parties' estimates, the combined market share of Action Logement Immobilier and the target does not exceed 5%, regardless of the delimitation retained.</w:t>
        <w:br/>
        <w:t>48. Any risk of horizontal effects in the market for the ownership and self-management of commercial premises can therefore be ruled out.</w:t>
        <w:br/>
        <w:t>3. THE MARKET FOR REAL ESTATE DEVELOPMENT</w:t>
        <w:br/>
        <w:t>49. In this segment, the operation also leads to an overlap between the activities of the acquirer and the target.</w:t>
      </w:r>
    </w:p>
    <w:p>
      <w:r>
        <w:rPr>
          <w:b/>
        </w:rPr>
        <w:t>[Pages 10–11]</w:t>
      </w:r>
    </w:p>
    <w:p>
      <w:r>
        <w:t xml:space="preserve">50. According to the notifying party's estimates, the combined market share, in volume and value, is below 25% or 50%, with an addition of market shares below 2 points, regardless of the segmentation considered.  </w:t>
        <w:br/>
        <w:t xml:space="preserve">51. Any risk of horizontal effects on the residual social housing promotion market can therefore be ruled out.  </w:t>
        <w:br/>
        <w:t xml:space="preserve">B. ANALYSIS OF VERTICAL EFFECTS  </w:t>
        <w:br/>
        <w:t xml:space="preserve">52.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53. In this case, Action Logement, through its subsidiary Action Logement Services (hereinafter "ALS"), engages in financing activities for individuals or businesses by enabling, in particular, the financing of the production and rehabilitation of housing as well as public housing policies. Through this activity, it grants loans to social landlords for social housing. The Competition Authority has determined that the financing activity for social housing does not constitute a market activity as it falls within a specific legislative framework19. As such, this activity does not constitute a market affected by the notified operation.  </w:t>
        <w:br/>
        <w:t xml:space="preserve">54. However, insofar as the financing activity for social housing is situated upstream of a competitive market, it is necessary to analyze the risks arising from Action Logement Immobilier's acquisition of SEDRE downstream, in the markets for self-managed residential buildings for social use.  </w:t>
        <w:br/>
        <w:t xml:space="preserve">55. Decision-making practice generally considers that a risk of harming competition through vertical effects can be ruled out, provided that the market shares of the entity resulting from the operation in the relevant markets do not exceed 30%.  </w:t>
        <w:br/>
        <w:t xml:space="preserve">56. In this case, the market shares of the new entity will exceed 30% in the market for self-managed social rental housing in the territory of Réunion, and within the following EPCI: CIVIS, CINOR, CIREST, and TCO.  </w:t>
        <w:br/>
        <w:t xml:space="preserve">57. It is therefore necessary to determine whether ALS could refuse to finance the social housing landlords competing with SEDRE, or at least make their access to credit more difficult.  </w:t>
        <w:br/>
        <w:t xml:space="preserve">58. Despite the market shares of the new entity in certain areas, the risk of excluding competitors in the local markets for self-managed residential buildings for social use can be excluded. Indeed, ALS grants loans to social landlords whose guiding principles are governed by regulatory provisions of the construction and housing code. These loans are offered to landlords under identical financial conditions across the entire territory and without discrimination between borrowers.  </w:t>
        <w:br/>
        <w:t xml:space="preserve">19 See the decision of the Competition Authority No. 17-DCC-181 of November 6, 2017, concerning five operations in the real estate sector in the overseas departments and regions.  </w:t>
        <w:br/>
        <w:t xml:space="preserve">59. Compliance with these obligations is notably monitored by ANCOLS20 and by the State through three government commissioners who sit on the Board of Directors of Action Logement Services and who can, among other things, exercise their veto right against any resolution that goes against the principle of non-discrimination provided for by Article L. 313-17-3 of the construction and housing code.  </w:t>
        <w:br/>
        <w:t xml:space="preserve">60. Regarding the conditions of these loans (and their rates in particular), ALS is required to grant long-term loans under identical conditions across the entire territory. The rates of the loans are notably indexed to the rate of the resource from which they are financed, in order to achieve alignment between the revenues from these loans and the cost of the resource used. The conditions of the loans are thus subject to a set of regulatory provisions that ensure that ALS does not discriminate between borrowers and that they are treated equally, regardless of their geographical situation or quality.  </w:t>
        <w:br/>
        <w:t xml:space="preserve">61. Finally, and in any case, there are several alternatives available to the competitors of Action Logement Immobilier and SEDRE, who can notably borrow from the Caisse des Dépôts et des Consignations or from private operators.  </w:t>
        <w:br/>
        <w:t xml:space="preserve">62. In light of the above, the operation is not likely to harm competition through vertical effects between the activity of financing social housing and that of self-managed residential buildings for social use.  </w:t>
        <w:br/>
        <w:t xml:space="preserve">DECIDES  </w:t>
        <w:br/>
        <w:t xml:space="preserve">Single Article: The operation notified under number 21-209 is authorized.  </w:t>
        <w:br/>
        <w:t xml:space="preserve">The interim president,  </w:t>
        <w:br/>
        <w:t xml:space="preserve">Emmanuel Combe  </w:t>
        <w:br/>
        <w:t xml:space="preserve">© Competition Authority  </w:t>
        <w:br/>
        <w:t>20 Pursuant to Article L. 342-2 of the CCH.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