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https://www.autoritedelaconcurrence.fr/fr/decision-de-controle-des-concentrations/relative-la-prise-de-controle-conjoint-de-la-semag-par-la</w:t>
      </w:r>
    </w:p>
    <w:p>
      <w:r>
        <w:t>Pages translated : 10</w:t>
      </w:r>
    </w:p>
    <w:p/>
    <w:p>
      <w:r>
        <w:rPr>
          <w:b/>
        </w:rPr>
        <w:t>[Pages 1–3]</w:t>
      </w:r>
    </w:p>
    <w:p>
      <w:r>
        <w:t>FRENCH REPUBLIC</w:t>
        <w:br/>
        <w:t>Decision No. 21-DCC-138 of August 5, 2021</w:t>
        <w:br/>
        <w:t>regarding the joint control of SEMAG by the company</w:t>
        <w:br/>
        <w:t>Action Logement Immobilier and the region and department of</w:t>
        <w:br/>
        <w:t>Guadeloupe</w:t>
        <w:br/>
        <w:t>The Competition Authority,</w:t>
        <w:br/>
        <w:t>Having regard to the notification file submitted in full to the concentrations service on July 5, 2021,</w:t>
        <w:br/>
        <w:t>regarding the joint control of SEMAG by the company Action Logement Immobilier</w:t>
        <w:br/>
        <w:t>and the region and department of Guadeloupe, formalized by the minutes of the board meeting</w:t>
        <w:br/>
        <w:t>of SEMAG on November 18, 2020, and by a shareholders' agreement</w:t>
        <w:br/>
        <w:t>concluded between the region and the department of Guadeloupe, and Action Logement Immobilier on</w:t>
        <w:br/>
        <w:t>October 5, 2020;</w:t>
        <w:br/>
        <w:t>Having regard to Book IV of the Commercial Code relating to the freedom of prices and competition, and</w:t>
        <w:br/>
        <w:t>notably its Articles L. 430-1 to L. 430-7;</w:t>
        <w:br/>
        <w:t>Having regard to the supplementary elements transmitted by the notifying party during the investigation;</w:t>
        <w:br/>
        <w:t>Having regard to the other documents in the file;</w:t>
        <w:br/>
        <w:t>Adopts the following decision:</w:t>
      </w:r>
    </w:p>
    <w:p>
      <w:r>
        <w:t>I. The Companies Concerned and the Operation</w:t>
        <w:br/>
        <w:t>1. The company Action Logement Immobilier is exclusively controlled by the Action Logement group. The latter manages the employers' contribution to the construction effort established in 1953, pursuant to Article L. 313-1 of the Construction and Housing Code (hereinafter the "CCH"). Action Logement's activity revolves around two main axes: (i) the construction and financing of social and intermediate housing, primarily in areas with high real estate tension, and (ii) supporting employees in their residential and professional mobility through the provision of services or financial aid for young workers in mobility or difficulty. Currently, the Action Logement group manages more than one million housing units, including 966,127 social housing units and 66,372 intermediate and various housing units. In Guadeloupe, the group is active in the social rental housing sector through Action Logement Immobilier and its subsidiary Sikoa. In Martinique, the group is active through Action Logement Immobilier and its subsidiary Ozanam, which is also active in the real estate development sector.</w:t>
        <w:br/>
        <w:t>2. According to Law No. 2015-991 of August 7, 2015, concerning the New Territorial Organization of the Republic (NOTRe), the region of Guadeloupe (hereinafter "the region") has exclusive competence for the following missions: economic development and innovation, management of European programs, vocational training, apprenticeship and alternation, secondary and higher education, land planning, environment, and transportation. The region currently controls SEM Patrimoniale Guadeloupe, which engages in the rental of land and real estate. Furthermore, it holds, among others, a non-controlling interest in the Société d’économie mixte d’aménagement de la Guadeloupe (hereinafter "SEMAG").</w:t>
        <w:br/>
        <w:t>3. The missions of the department of Guadeloupe (hereinafter "the department") have been entrusted to it by the decentralization laws No. 82-213, No. 83-008, No. 83-663, and No. 2004-809. Thus, the department has exclusive competence for the following missions: housing, social assistance, road management (management of departmental roads and local interest national roads, transportation, and school transport by bus), education (material management of colleges), culture (departmental archives, architectural and museum heritage), social development, and tourism. The department currently controls SAFER (Société d’aménagement foncier et d’établissement rural), which operates as a rural land operator under the supervision of the ministries of agriculture and finance. Furthermore, it holds, among others, a non-controlling interest in SEMAG.</w:t>
        <w:br/>
        <w:t>4. SEMAG's main activities are land development and real estate management in Guadeloupe and Martinique. It is owned by the department (33.42%), the region (25.38%), private actors (22.52%), and municipalities (18.68%). Prior to the operation, SEMAG is not controlled within the meaning of concentration law. SEMAG's activity revolves around three axes: (i) the management of social and intermediate housing, (ii) the development of urban social projects for public decision-makers, and (iii) real estate promotion. SEMAG also controls the "Jardin Botanique de Deshaies," located in Basse-Terre. Additionally, SEMAG has recently developed an activity of constructing accommodation facilities for dependent elderly persons (EHPAD).</w:t>
        <w:br/>
        <w:t>5. The notified operation consists of a capital increase of SEMAG. On the one hand, one million euros will be contributed by the department and the same amount by the region, so that they will hold 22.04% and 17.41% of the target's share capital, respectively. On the other hand, Action Logement Immobilier will contribute 13.2 million euros, bringing its share in the target's capital to 37.07%, as well as 1.8 million euros paid in the form of a current account advance.</w:t>
        <w:br/>
        <w:t>6. The new shareholders' agreement provides that the three purchasers will together form a strategic committee, with one member designated by the region, one member by the department, and two members by Action Logement. Strategic decisions, such as the medium-term plan (PMT) and the budget, will be made unanimously by the members of the strategic committee, each member holding a veto right. Furthermore, the senior management of SEMAG will be appointed by the board of directors upon proposal from the department, the region, and Action Logement Immobilier. Thus, it follows from all these elements that the department, the region, and Action Logement Immobilier will each have the ability to block decisions submitted to the strategic committee and thus exercise a decisive and joint influence over SEMAG.</w:t>
        <w:br/>
        <w:t>7. As it results in the joint control of SEMAG by Action Logement Immobilier, the region, and the department, the notified operation constitutes a concentration within the meaning of Article L. 430-1 of the Commercial Code.</w:t>
        <w:br/>
        <w:t>8. The companies concerned together achieve a total worldwide turnover of more than 75 million euros (Action Logement Immobilier: 6.7 billion euros for the fiscal year ending December 31, 2019; region of Guadeloupe: 5.5 million euros for the same fiscal year; department of Guadeloupe: 1.6 million euros for the same fiscal year; SEMAG: 33.4 million euros for the same fiscal year). Each of these companies achieves, in at least one of the departments or territorial communities concerned, a turnover exceeding 15 million euros (Action Logement Immobilier: 40.3 million euros in Guadeloupe and 52.9 million euros in Martinique for the fiscal year ending December 31, 2019; region of Guadeloupe: 5.5 million euros in Guadeloupe for the same fiscal year; department of Guadeloupe: 1.6 million euros in Guadeloupe for the same fiscal year; SEMAG: 30.3 million euros in Guadeloupe and 3.1 million euros in Martinique for the same fiscal year).</w:t>
        <w:br/>
        <w:t>9. Given these 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rPr>
          <w:b/>
        </w:rPr>
        <w:t>[Pages 4–6]</w:t>
      </w:r>
    </w:p>
    <w:p>
      <w:r>
        <w:t>II. Delimitation of Relevant Markets</w:t>
        <w:br/>
        <w:t>10. The parties are simultaneously active in the real estate services markets.</w:t>
        <w:br/>
        <w:t>SERVICES MARKETS</w:t>
        <w:br/>
        <w:t>11. National7 and European8 competition authorities have considered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 commercial premises, and other activity premises), and (iv) the nature of the services or goods offered.</w:t>
        <w:br/>
        <w:t>12. Regarding segmentation according to the nature of the services or goods offered, decision-making practice has considered, while leaving the question open, a distinction between:</w:t>
        <w:br/>
        <w:t>- real estate promotion, which includes the activities of construction and sale of real estate;</w:t>
        <w:br/>
        <w:t>- management of real estate assets for one's own account;</w:t>
        <w:br/>
        <w:t>- management of real estate assets for third parties;</w:t>
        <w:br/>
        <w:t>- administration of real estate, which covers the activities of managing properties on behalf of owners and can be segmented between rental management and co-ownership management;</w:t>
        <w:br/>
        <w:t>- real estate appraisal;</w:t>
        <w:br/>
        <w:t>- real estate consulting;</w:t>
        <w:br/>
        <w:t>- intermediation in real estate transactions, within which a distinction can be made between the sale and rental of properties9.</w:t>
        <w:br/>
        <w:t>13. Within the management of residential real estate assets for one's own account, the Minister of Economy has considered it appropriate to distinguish "the management of social housing, insofar as this activity operates within a specific regulatory framework, through which the State plays an important role, both in terms of financial aid and allocation of housing"10. This distinction is still relevant.</w:t>
        <w:br/>
        <w:t>14. Indeed, the management of the social rental stock is regulated by the State through agreements concluded with low-rent housing organizations11 (known as "APL agreements"). Companies, referred to as social housing organizations (OLS), are subject to the control of the National Agency for the Control of Social Housing (ANCOLS)12. In France, social landlords (or "HLM organizations") are divided into three categories: (i) public housing offices (OPH) created and managed by local authorities (municipalities, intermunicipalities, departments)13, (ii) social housing companies (ESH) of private non-profit law14, some of which belong to the Action Logement group, and (iii) cooperatives for low-rent housing15.</w:t>
        <w:br/>
        <w:t>15. The main characteristic of the social rental stock is to offer targeted populations, subject to income conditions16, housing at rents significantly lower than those practiced within the private rental stock17, the allocation of which is decided by an allocation commission.</w:t>
        <w:br/>
        <w:t>16. The Minister of Economy has also considered distinguishing social housing from intermediate rental housing on the grounds that "intermediate rental housing presents economic characteristics comparable to those of social housing, the main difference being the absence of regulation imposing income ceilings or rent limitations. Such constraints do exist, but they result from "reservation agreements" usually concluded for long durations, ranging from 9 to 15 years, with reservists (local or national public administrations, national companies), for the benefit of their civil servants or permanent agents"18. This distinction remains valid.</w:t>
        <w:br/>
        <w:t>17. The question of the exact delineation of the service markets concerned by the operation can, however, be left open, to the extent that the conclusions of the competitive analysis remain unchanged, regardless of the segmentation retained.</w:t>
        <w:br/>
        <w:t>18. In this case, the purchasers and the target are simultaneously present in the market for the ownership and management for one's own account of housing for social use. SEMAG and Action Logement Immobilier are also simultaneously present in the market for the ownership and management for one's own account of commercial premises and in the market for the ownership and management for one's own account of real estate assets intended for accommodation for the elderly.</w:t>
        <w:br/>
        <w:t>10 Letter from the Minister dated June 21, 2002 regarding the creation of the joint venture Eulia between the Caisse des dépôts et consignations and the Caisse nationale des caisses d’épargne; letter from the Minister dated November 8, 2002 to the boards of the company Gécina regarding a concentration in the real estate assets sector.</w:t>
        <w:br/>
        <w:t>11 Pursuant to Article L 351-2-2° of the Construction and Housing Code (hereinafter CCH).</w:t>
        <w:br/>
        <w:t>12 See Articles L. 342-1 to L. 342-21 of the CCH.</w:t>
        <w:br/>
        <w:t>13 See Articles L. 421-1 to L. 421-26 of the CCH.</w:t>
        <w:br/>
        <w:t>14 These are the former public limited companies for low-rent housing (SAHLM); see Articles L. 421-2 to L. 421-2-1 of the Construction and Housing Code.</w:t>
        <w:br/>
        <w:t>15 See Articles L. 422-3 to L. 422-3-2 of the CCH.</w:t>
        <w:br/>
        <w:t>16 Article R. 331-12 of the CCH makes the allocation of grants and loans for social construction conditional on the occupation of social housing by individuals whose total resources, at the time of entry into the premises, are below ceilings set each year by ministerial decree.</w:t>
        <w:br/>
        <w:t>17 On average, rents in the social stock are twice as low as those in the private stock.</w:t>
        <w:br/>
        <w:t>18 C2006-151 / Letter from the Minister of Economy, Finance and Industry dated January 10, 2007 to the board of the Société Nationale Immobilière group, regarding a concentration in the sector of development and management of real estate stock primarily intended for residential use, BOCCRF n° 3bis of March 23, 2007.</w:t>
      </w:r>
    </w:p>
    <w:p>
      <w:r>
        <w:t>GEOGRAPHIC MARKETS</w:t>
        <w:br/>
        <w:t>19. According to the aforementioned decision-making practice, markets related to the real estate sector are generally local in scope, taking into account, in particular, the differences between regions and regional metropolises in terms of real estate prices and demand.</w:t>
        <w:br/>
        <w:t>20. In this case, the activities of the purchasers and the target overlap in Guadeloupe and Martinique.</w:t>
        <w:br/>
        <w:t>21. For regions outside Île-de-France, competition authorities have conducted their competitive analyses at the regional or sub-regional level19. In its recent decisions, the Authority has thus examined the effects of operations at the level of urban areas20.</w:t>
        <w:br/>
        <w:t>22. The question of the exact delineation of the geographic markets concerned by the operation can, however, be left open to the extent that the conclusions of the competitive analysis remain unchanged, regardless of the segmentation retained.</w:t>
        <w:br/>
        <w:t>23. In this case, the analyses will be conducted at the level of the regions and departments of Guadeloupe and Martinique. The analyses will also be conducted at the level of urban areas, that is to say at the level of the territories of public inter-municipal cooperation establishments ("EPCI")21.</w:t>
        <w:br/>
        <w:t>19 See, for example, the decisions of the Competition Authority n° 21-DCC-60, n° 20-DCC-88 and n° 19-DCC-204 mentioned above and decision n° 14-DCC-166 of November 13, 2014 regarding the exclusive control by Klépierre SA of Corio NV.</w:t>
        <w:br/>
        <w:t>20 See, for example, decisions n°21-DCC-60 of April 6, 2021 regarding the joint control of the Mixed Economy Company for Construction of the Ain Department by Action Logement Immobilier, the company Adestia and the Ain Department, n° 20-DCC-88 of July 23, 2020 regarding the merger of three social landlords active in the Hauts-de-France region and n° 20-DCC-84 of July 17, 2020 regarding the exclusive control of SODIAC by CDC Habitat.</w:t>
        <w:br/>
        <w:t>21 In this case, for the Guadeloupe area: the Community of Agglomeration of North Grande-Terre (CANGT), the Community of Agglomeration La Riviera du Levant, the Community of Agglomeration of North Basse-Terre (CANBT), the Community of Agglomeration Grand Sud Caraïbe (CAGSC) and the Community of Agglomeration Cap Excellence. For the Martinique area, it concerns: the Community of Agglomeration of Centre-Est Martinique (CACEM), the Community of Agglomeration of the Southern Space of Martinique (CAESM) and the Community of Communes of North Martinique (CCNM).</w:t>
      </w:r>
    </w:p>
    <w:p>
      <w:r>
        <w:rPr>
          <w:b/>
        </w:rPr>
        <w:t>[Pages 7–9]</w:t>
      </w:r>
    </w:p>
    <w:p>
      <w:r>
        <w:t>III. Competitive Analysis</w:t>
        <w:br/>
        <w:t>ANALYSIS OF HORIZONTAL EFFECTS</w:t>
        <w:br/>
        <w:t>1. THE MARKET FOR THE OWNERSHIP AND MANAGEMENT OF SOCIAL HOUSING</w:t>
        <w:br/>
        <w:t>25. The combined market share of Action Logement Immobilier and SEMAG will be above 25%, but systematically below 50%, with a combined market share exceeding 2 percentage points in four areas.</w:t>
        <w:br/>
        <w:t>26. These areas are the region of Guadeloupe and the following local areas: the territories of the Community of Agglomeration Cap Excellence, the Community of Agglomeration of Centre-Est Martinique (CACEM), and the Community of Communes of North Martinique (CCNM).</w:t>
        <w:br/>
        <w:t>27. In the region of Guadeloupe, the market share of the new entity will be [20-30]%. The new entity will face other competitors, such as the Société Immobilière Guadeloupe (SIG) whose market share is [40-50]%.</w:t>
        <w:br/>
        <w:t>28. In the territory of the Community of Agglomeration Cap Excellence, the market share of the new entity will be [30-40]%. It will also face several competitors, including SIG, which will remain the main operator in the area.</w:t>
        <w:br/>
        <w:t>29. In the territory of CACEM, the market share of the new entity will be [30-40]%. It will face several competitors including the Société Immobilière de Martinique (SIMAR) and the Société Martiniquaise d’HLM (SM HLM) whose market shares will be [30-40] and [30-40]%, respectively.</w:t>
        <w:br/>
        <w:t>30. Finally, in the territory of CCNM, the market share of the new entity will be [30-40]%. It will also face competition from several operators including SIMAR and SM HLM.</w:t>
        <w:br/>
        <w:t>31. Thus, in these areas, the new entity will be confronted with competitive pressure from competing social housing operators, whose offerings represent credible and sufficient alternatives for housing applicants, so that any horizontal competition issue can be ruled out.</w:t>
        <w:br/>
        <w:t>32. It follows from the above that the notified operation is not likely to harm competition through horizontal effects in the market for the ownership and management of social housing.</w:t>
      </w:r>
    </w:p>
    <w:p>
      <w:r>
        <w:t>2. THE MARKET FOR THE OWNERSHIP AND MANAGEMENT OF REAL ESTATE ASSETS FOR ELDERLY HOUSING</w:t>
        <w:br/>
        <w:t>33. In this market, the operation leads to an overlap between the activities of SEMAG and those of Action Logement Immobilier, via its subsidiary SIKOA, in the region of Guadeloupe.</w:t>
        <w:br/>
        <w:t>34. However, according to the notifying parties' estimates, the combined market share of the acquirers and the target will not exceed 25%, regardless of the delineation adopted.</w:t>
        <w:br/>
        <w:t>35. Consequently, any risk of harm to competition through horizontal effects in the market for the ownership and management of real estate assets for elderly housing can be ruled out.</w:t>
      </w:r>
    </w:p>
    <w:p>
      <w:r>
        <w:t>3. THE MARKET FOR THE OWNERSHIP AND MANAGEMENT OF COMMERCIAL PREMISES</w:t>
        <w:br/>
        <w:t>36. In this market, the operation leads to an overlap between the activities of SEMAG and those of Action Logement Immobilier in the regions of Guadeloupe and Martinique.</w:t>
        <w:br/>
        <w:t>37. However, according to the notifying parties' estimates, the combined market share of Action Logement Immobilier and the target will not exceed 5%, regardless of the delineation adopted.</w:t>
        <w:br/>
        <w:t>38. Any risk of horizontal effects in the market for the ownership and management of commercial premises can therefore be ruled out.</w:t>
      </w:r>
    </w:p>
    <w:p>
      <w:r>
        <w:t>ANALYSIS OF VERTICAL EFFECTS</w:t>
        <w:br/>
        <w:t>39. A vertical concentration can restrict competition by making it more difficult for competitors to access the markets in which the new entity will be active,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br/>
        <w:t>40. In this case, the Action Logement group engages in financing social housing, which is upstream of the market for the management of social housing, in which all parties are active.</w:t>
        <w:br/>
        <w:t>41. Decision-making practice generally considers that a risk of harm to competition through vertical effects can be ruled out, provided that the market shares of the entity resulting from the operation in the relevant markets do not exceed 30%.</w:t>
        <w:br/>
        <w:t>42. In this case, the market shares of the parties will exceed 30% in the market for the management of social housing in the areas of the Community of Agglomeration Cap Excellence, the Community of Agglomeration of Centre-Est Martinique (CACEM), and the Community of Communes of North Martinique (CCNM).</w:t>
        <w:br/>
        <w:t>43. The Action Logement group, through its subsidiary Action Logement Services, engages in financing for individuals or businesses, allowing, in particular, the financing of the production and rehabilitation of housing as well as public housing policies. Thus, it grants loans to social landlords for social housing.</w:t>
        <w:br/>
        <w:t>44. The Competition Authority has determined that the activity of financing social housing does not constitute a market activity as it falls within a specific legislative framework. As such, this activity does not constitute a market concerned by the notified operation.</w:t>
        <w:br/>
        <w:t>45. However, insofar as the activity of financing social housing is situated upstream of a competitive market, it is necessary to analyze the risks resulting from the acquisition of SEMAG by Action Logement Immobilier downstream, in the markets for the management of residential buildings for social use.</w:t>
        <w:br/>
        <w:t>46. In this case, it is necessary to determine whether the Action Logement group could refuse to finance the competing social housing landlords of SEMAG, or at least make it more difficult for them to access credit.</w:t>
        <w:br/>
        <w:t>47. In this case, the risk of excluding competitors in the local markets for the management of residential buildings for social use can be excluded. Indeed, the Action Logement group grants loans to social landlords whose guiding principles are framed by provisions set out in the Construction and Housing Code. These loans are offered to landlords under identical financial conditions throughout the territory and without discrimination between borrowers.</w:t>
        <w:br/>
        <w:t>48. The conditions of these loans (and their rates, in particular) are also framed by regulatory provisions ensuring that, in their granting, Action Logement does not discriminate between borrowers and that they are treated equally, regardless of their geographical situation or status. Thus, Action Logement is required to grant long-term loans under identical conditions throughout the territory. The rates of the loans are notably indexed to the rate of the resource from which they are financed, in order to achieve alignment between the revenues from these loans and the cost of the resource used.</w:t>
        <w:br/>
        <w:t>49. Compliance with these obligations is notably monitored by ANCOLS and by the State through three government commissioners who sit on the Board of Directors of Action Logement Services and who can, among other things, exercise their veto right against any resolution that goes against the principle of non-discrimination provided for in Article L. 313-17-3 of the Construction and Housing Code.</w:t>
        <w:br/>
        <w:t>50. Finally, there are several alternatives available to the competitors of Action Logement and SEMAG who can, in particular, borrow from the Caisse des Dépôts et des Consignations or from private operators.</w:t>
        <w:br/>
        <w:t>51. Given the above, the operation is not likely to harm competition through vertical effects between the activity of financing social housing and that of managing residential buildings for social use.</w:t>
      </w:r>
    </w:p>
    <w:p>
      <w:r>
        <w:rPr>
          <w:b/>
        </w:rPr>
        <w:t>[Pages 10–10]</w:t>
      </w:r>
    </w:p>
    <w:p>
      <w:r>
        <w:t>DECIDES</w:t>
        <w:br/>
        <w:t>Sole Article: The operation notified under number 21-090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