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w:t>
      </w:r>
    </w:p>
    <w:p>
      <w:r>
        <w:t>Pages translated : 6</w:t>
      </w:r>
    </w:p>
    <w:p/>
    <w:p>
      <w:r>
        <w:rPr>
          <w:b/>
        </w:rPr>
        <w:t>[Pages 1–3]</w:t>
      </w:r>
    </w:p>
    <w:p>
      <w:r>
        <w:t xml:space="preserve">FRENCH REPUBLIC  </w:t>
        <w:br/>
        <w:t xml:space="preserve">Decision No. 10-DCC-14 of February 17, 2010  </w:t>
        <w:br/>
        <w:t xml:space="preserve">regarding the joint control of Stradis SAS by  </w:t>
        <w:br/>
        <w:t xml:space="preserve">Corlam SAS and ITM Alimentaire Ouest (ITM Entreprises Group)  </w:t>
        <w:br/>
        <w:t xml:space="preserve">The Competition Authority,  </w:t>
        <w:br/>
        <w:t xml:space="preserve">Having regard to the notification file submitted in full to the concentrations service on January 14, 2010, regarding the acquisition of Stradis SAS by Corlam SAS and ITM Alimentaire Ouest, formalized by two agreements signed on January 4, 2010;  </w:t>
        <w:br/>
        <w:t xml:space="preserve">Having regard to Book IV of the Commercial Code relating to price freedom and competition, and in particular Articles L. 430-1 to L. 430-7;  </w:t>
        <w:br/>
        <w:t xml:space="preserve">Having regard to the supplementary elements provided by the parties during the investigation;  </w:t>
        <w:br/>
        <w:t xml:space="preserve">Adopts the following decision:  </w:t>
        <w:br/>
        <w:t xml:space="preserve">I. The concerned companies and the operation  </w:t>
        <w:br/>
        <w:t xml:space="preserve">1. ITM Entreprises, 100% controlled by the Société civile des Mousquetaires, itself held by 1,330 individuals known as "associated members," manages and animates the network of independent merchants known as the "Groupement des Mousquetaires." As a franchisor, ITM Entreprises' main activity is the management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such as prospecting, consulting, training, etc. Finally, ITM Entreprises offers franchisees the opportunity to benefit from advantageous supply conditions from its national and regional subsidiaries as well as from external suppliers referenced outside the "Groupement des Mousquetaires."  </w:t>
        <w:br/>
        <w:t xml:space="preserve">2. ITM Alimentaire Ouest is a French company held at [&gt;50]% by Société ITM Alimentaire France, itself held by ITM Entreprises, and at [&lt;50]% by ITM Entreprises. ITM Entreprises has entrusted ITM Alimentaire Ouest with the management and development of the franchise network operating the food brands Intermarché, Ecomarché, and Netto in the western region of France. ITM Alimentaire Ouest is also tasked with defending the integrity of the network by purchasing the outlets whose owners wish to divest. It manages the operation of the outlets during the holding phase, pending the selection of a new member.  </w:t>
        <w:br/>
        <w:t xml:space="preserve">3. The ITM Entreprises group achieved, during the last fiscal year ending December 31, 2008, a total turnover excluding taxes of [20-30] billion euros, of which [15-25] billion was in France.  </w:t>
        <w:br/>
        <w:t xml:space="preserve">4. Corlam SAS (hereinafter "Corlam") is a French company whose shares are predominantly held by Mr. X. The remainder of Corlam's capital is held by ITM Entreprises, through a share that does not confer any special rights. Corlam holds the majority of the shares of the companies Ulika and Landivalt, which operate two outlets under the brands Comptoir des marchandises and Intermarché, both located in Vannes (56). Corlam's total turnover excluding taxes amounted to [&gt;20] million euros in 2008.  </w:t>
        <w:br/>
        <w:t xml:space="preserve">5. Stradis SAS (hereinafter "Stradis") is a French company that operates, as a franchisee, a retail outlet predominantly selling food under the Intermarché brand, located in the city of Saint Ave (56). Stradis is a signatory to a brand contract with ITM Entreprises. The shares of Stradis are predominantly held by Mr. and Mrs. Y and their children. The remainder of Stradis' capital is held by ITM Entreprises, through a share that does not confer any special rights. Stradis' total turnover excluding taxes amounted to 14.5 million euros in 2008.  </w:t>
        <w:br/>
        <w:t xml:space="preserve">6. The notified operation takes place in two stages. In the first stage, ITM Alimentaire Ouest entered into an agreement with Mr. and Mrs. Y on January 4, 2010, concerning the acquisition, for holding purposes, of all the shares of Stradis owned by them. ITM Entreprises will thus hold, via ITM Alimentaire Ouest, exclusive control of Stradis. This exclusive control will only last for a moment since, by an agreement of the same day, ITM Alimentaire Ouest commits to transferring back to Mr. and Mrs. X, via Corlam, the majority of the shares of Stradis acquired from Mr. and Mrs. Y. At the end of this second stage, the shares of Stradis will be held predominantly in full ownership and usufruct by Mr. and Mrs. X, via Corlam. The remainder of Stradis' capital will be held at [&lt;5]% in bare ownership by ITM Alimentaire Ouest, with ITM Entreprises retaining a share held in full ownership.  </w:t>
        <w:br/>
        <w:t>7. The parties indicated that they plan to amend the articles of association of STRADIS, and that this revision will grant ITM Entreprises the ability to block any change of brand for a period of 25 years as well as a right of preference for an additional five years. Furthermore, the parties indicated that Mr. X must sign a brand contract for 25 years with ITM Entreprises for the STRADIS outlet, which grants ITM Entreprises a priority right in the event of the sale of the business at a price determined by the contract. The realization of the notified project will therefore result in joint control of the X family and ITM Entreprises over Stradis.</w:t>
      </w:r>
    </w:p>
    <w:p>
      <w:r>
        <w:t xml:space="preserve">8. The European Commission states in its consolidated communication1 that it considers two conditions to assess whether a transitional operation constitutes a lasting change of control. On one hand, the transitional nature of the operation must be agreed upon between the different acquirers in a legally binding manner, and, on the other hand, there must be no doubt about the speed of the second stage. The European Commission also states that2 "[…] in the context of a series of operations, a company agrees to first take exclusive control of a target company, to then directly transfer certain parts of the acquired stake in the target company to another company, with both acquirers ultimately jointly controlling the target company. If the two acquisitions are subject to a conditional link, the two operations constitute a single concentration and only the acquisition of joint control, which is the final result of the operations, will be examined by the Commission."  </w:t>
        <w:br/>
        <w:t xml:space="preserve">9. In this case, the two stages of the operation exhibit the characteristics of a single concentration. The operation is therefore analyzed as the transition from exclusive control of Mr. and Mrs. Y over Stradis to joint control of ITM Entreprises and Mr. and Mrs. X, with Mr. X already holding two companies. It constitutes a concentration within the meaning of Article L. 430-1 of the Commercial Code. Given the turnover of the concerned companies, it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  </w:t>
        <w:br/>
        <w:t xml:space="preserve">II. Definition of the relevant markets  </w:t>
        <w:br/>
        <w:t xml:space="preserve">10. According to the constant practice of national and community competition authorities3, two categories of markets can be delineated4 in the food retail sector. These are, on one hand, "downstream" markets, of local dimension, which bring together retail companies and consumers for the sale of consumer goods and, on the other hand, "upstream" markets for supplying retail companies with everyday consumer goods, of national dimension.  </w:t>
        <w:br/>
        <w:t xml:space="preserve">1 Paragraphs 28 and following of the European Commission's consolidated communication on the Commission's jurisdiction under Council Regulation (EC) No. 139/2004 on the control of concentrations between enterprises  </w:t>
        <w:br/>
        <w:t xml:space="preserve">2 Paragraph 47 of the European Commission's consolidated communication on the Commission's jurisdiction under Council Regulation (EC) No. 139/2004 on the control of concentrations between enterprises  </w:t>
        <w:br/>
        <w:t xml:space="preserve">3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4 Decisions of the Commission in the cases M.1221 Rewe/Meinl of February 3, 1999, M.1684 Carrefour/Promodès of January 25, 2000, and M.2115 Carrefour/GB of September 28, 2000. See also the decision C.2005-98 Carrefour/Penny Market of November 10, 2005.</w:t>
      </w:r>
    </w:p>
    <w:p>
      <w:r>
        <w:rPr>
          <w:b/>
        </w:rPr>
        <w:t>[Pages 4–6]</w:t>
      </w:r>
    </w:p>
    <w:p>
      <w:r>
        <w:t>A. DOWNSTREAM DISTRIBUTION MARKETS</w:t>
      </w:r>
    </w:p>
    <w:p>
      <w:r>
        <w:t>1. SERVICE MARKETS</w:t>
      </w:r>
    </w:p>
    <w:p>
      <w:r>
        <w:t>11. Regarding the retail sale of everyday consumer goods, competition authorities, both at the community and national levels, have distinguished six categories of commerce using several criteria, including store size, sales techniques, accessibility, the nature of the service provided, and the range of products offered: (i) hypermarkets, (ii) supermarkets, (iii) specialized trade, (iv) small retail trade, (v) discount stores, (vi) mail order sales.</w:t>
      </w:r>
    </w:p>
    <w:p>
      <w:r>
        <w:t>12. Supermarkets are usually defined as predominantly food stores with a sales area of less than 2,500 m2 and more than 400 m2. However, it should be noted that these thresholds must be used with caution and may be adapted to the specific case, considering that stores whose area is near a threshold, either below or above, may be in direct competition in practice.</w:t>
      </w:r>
    </w:p>
    <w:p>
      <w:r>
        <w:t>13. In this case, the acquired store currently occupies a sales area of 1,650 m2. This store therefore falls into the category of supermarkets.</w:t>
      </w:r>
    </w:p>
    <w:p>
      <w:r>
        <w:t>2. GEOGRAPHICAL DELIMITATION</w:t>
      </w:r>
    </w:p>
    <w:p>
      <w:r>
        <w:t>14. In its recent decisions regarding operations involving hypermarkets or supermarkets, the Competition Authority has recalled that depending on the size of the stores concerned, the conditions of competition should be assessed in two different areas:</w:t>
        <w:br/>
        <w:t>- a first area where the demand from consumers for everyday consumer goods meets the supply of hypermarkets that they can access within 30 minutes of driving and which are, from their perspective, substitutable for each other;</w:t>
        <w:br/>
        <w:t>- a second area where the demand from consumers meets the supply of supermarkets and equivalent forms of commerce, located within 15 minutes of driving time. These latter forms of commerce may include, in addition to supermarkets, hypermarkets located near consumers and discount stores.</w:t>
      </w:r>
    </w:p>
    <w:p>
      <w:r>
        <w:t>15. Other criteria may nevertheless be taken into account to assess the impact of a concentration on the competitive situation in retail distribution markets, which may lead to refining, in the specific case, the usual delimitations presented above.</w:t>
      </w:r>
    </w:p>
    <w:p>
      <w:r>
        <w:t>16. In this case, the store concerned by the operation, occupying a sales area of less than 2,500 m2 and falling into the category of supermarkets, the competitive analysis will only focus on the second market, that is, on the market including all hypermarkets, supermarkets, and discount stores located within a 15-minute catchment area around Saint Ave.</w:t>
      </w:r>
    </w:p>
    <w:p>
      <w:r>
        <w:t>B. UPSTREAM SUPPLY MARKETS</w:t>
      </w:r>
    </w:p>
    <w:p>
      <w:r>
        <w:t>17. Regarding the supply markets, the European Commission has recognized the existence of markets of national dimension by major product groups, a delimitation followed by national authorities.</w:t>
      </w:r>
    </w:p>
    <w:p>
      <w:r>
        <w:t>18. There is no need to challenge this delimitation in the context of the present operation.</w:t>
      </w:r>
    </w:p>
    <w:p>
      <w:r>
        <w:t>III. Competitive Analysis</w:t>
      </w:r>
    </w:p>
    <w:p>
      <w:r>
        <w:t>1. DOWNSTREAM FOOD DISTRIBUTION MARKETS</w:t>
      </w:r>
    </w:p>
    <w:p>
      <w:r>
        <w:t>19. In the downstream food distribution market, including hypermarkets, supermarkets, and discount stores within a 15-minute catchment area by car around Saint Ave, the market share of stores operated under a brand belonging to the ITM Entreprises group will, before and after the operation, be 23.5%, according to estimates provided by the parties calculated based on sales area. These stores face competition in this area from four sales areas under brands belonging to the Carrefour group (35% of cumulative market shares), and from an E. Leclerc supermarket (16% market share).</w:t>
      </w:r>
    </w:p>
    <w:p>
      <w:r>
        <w:t>20. Therefore, the operation is not likely to harm competition in the market considered.</w:t>
      </w:r>
    </w:p>
    <w:p>
      <w:r>
        <w:t>2. UPSTREAM SUPPLY MARKETS</w:t>
      </w:r>
    </w:p>
    <w:p>
      <w:r>
        <w:t>21. Regarding the upstream supply markets, the operation, which concerns only one store, is not likely to significantly strengthen the purchasing power of the ITM Entreprises group, across all products as well as by major product groups. The strengthening is even more minor since, prior to the operation, the target company was already sourcing [mainly] through subsidiaries of ITM Entreprises.</w:t>
      </w:r>
    </w:p>
    <w:p>
      <w:r>
        <w:t>DECIDES</w:t>
      </w:r>
    </w:p>
    <w:p>
      <w:r>
        <w:t>Sole Article: The operation notified under number 10-0002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