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https://www.autoritedelaconcurrence.fr/fr/decision-de-controle-des-concentrations/relative-la-prise-de-controle-conjoint-de-la-societe-10</w:t>
      </w:r>
    </w:p>
    <w:p>
      <w:r>
        <w:t>Pages translated : 2</w:t>
      </w:r>
    </w:p>
    <w:p/>
    <w:p>
      <w:r>
        <w:rPr>
          <w:b/>
        </w:rPr>
        <w:t>[Pages 1–2]</w:t>
      </w:r>
    </w:p>
    <w:p>
      <w:r>
        <w:t xml:space="preserve">FRENCH REPUBLIC  </w:t>
        <w:br/>
        <w:t xml:space="preserve">Decision No. 11-DCC-108 of July 8, 2011  </w:t>
        <w:br/>
        <w:t xml:space="preserve">regarding the joint control acquisition of the company Lhospital et Fils  </w:t>
        <w:br/>
        <w:t>by the company ITM Entreprises and the Brébiot group</w:t>
      </w:r>
    </w:p>
    <w:p>
      <w:r>
        <w:t>The Competition Authority,</w:t>
      </w:r>
    </w:p>
    <w:p>
      <w:r>
        <w:t xml:space="preserve">Having regard to the complete notification file submitted to the mergers department on June 17, 2011,  </w:t>
        <w:br/>
        <w:t xml:space="preserve">concerning the joint control acquisition of the company Lhospital et Fils by the company ITM  </w:t>
        <w:br/>
        <w:t>Entreprises and the Brébiot group;</w:t>
      </w:r>
    </w:p>
    <w:p>
      <w:r>
        <w:t xml:space="preserve">Having regard to Book IV of the Commercial Code relating to the freedom of prices and competition, and  </w:t>
        <w:br/>
        <w:t>notably its Articles L. 430-1 to L. 430-7;</w:t>
      </w:r>
    </w:p>
    <w:p>
      <w:r>
        <w:t>Adopts the following decision:</w:t>
      </w:r>
    </w:p>
    <w:p>
      <w:r>
        <w:t>1. The company Lhospital et Fils operates a predominantly food retail business under the Intermarché brand, with a surface area of 2,310 m2 and located in the town of Morlaàs (64). The notified operation consists of the joint control acquisition of the company Lhospital et Fils by the company ITM Entreprises and the Brébiot group. It constitutes a concentration operation within the meaning of Article L. 430-1 of the Commercial Code. Given the turnover achieved by the companies concerned, the operation does not have a community dimension. On the other hand, the control thresholds related to retail trade mentioned in point II of Article L. 430-2 of the Commercial Code are exceeded. This operation is therefore subject to the provisions of Articles L. 430-3 and following of the Commercial Code relating to economic concentration.</w:t>
      </w:r>
    </w:p>
    <w:p>
      <w:r>
        <w:t>2. In light of the elements of the file, the operation is not likely to harm competition in the relevant markets.</w:t>
      </w:r>
    </w:p>
    <w:p>
      <w:r>
        <w:t xml:space="preserve">DECIDES  </w:t>
        <w:br/>
        <w:t xml:space="preserve">Sole Article: The operation notified under number 11-119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