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https://www.autoritedelaconcurrence.fr/fr/decision-de-controle-des-concentrations/relative-la-prise-de-controle-conjoint-de-la-societe-100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18-DCC-120 of July 17, 2018  </w:t>
        <w:br/>
        <w:t xml:space="preserve">regarding the joint control acquisition of the company Funecap Topco by  </w:t>
        <w:br/>
        <w:t xml:space="preserve">Watling Street Capital Partners LLP and Funecap  </w:t>
        <w:br/>
        <w:t xml:space="preserve">Partenaires  </w:t>
        <w:br/>
        <w:t xml:space="preserve">The Competition Authority,  </w:t>
        <w:br/>
        <w:t xml:space="preserve">Having regard to the complete notification file submitted to the mergers department on June 25, 2018,  </w:t>
        <w:br/>
        <w:t xml:space="preserve">concerning the joint control acquisition of the company Funecap Topco by Watling Street  </w:t>
        <w:br/>
        <w:t xml:space="preserve">Capital Partners LLP and Funecap Partenaires, and formalized by a letter  </w:t>
        <w:br/>
        <w:t xml:space="preserve">of acceptance dated May 24,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Watling Street  </w:t>
        <w:br/>
        <w:t xml:space="preserve">Capital Partners LLP and Funecap Partenaires of the company Funecap Topco, which  </w:t>
        <w:br/>
        <w:t xml:space="preserve">is active in the funeral services sector. It constitutes a concentration operation  </w:t>
        <w:br/>
        <w:t xml:space="preserve">within the meaning of Article L. 430-1 of the Commercial Code. Given the turnover achieved  </w:t>
        <w:br/>
        <w:t xml:space="preserve">by the concerned companies, the operation does not fall under the jurisdiction of the  </w:t>
        <w:br/>
        <w:t xml:space="preserve">European Union. On the other hand, the control thresholds mentioned in point 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18-117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