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https://www.autoritedelaconcurrence.fr/fr/decision-de-controle-des-concentrations/relative-la-prise-de-controle-conjoint-de-la-societe-101</w:t>
      </w:r>
    </w:p>
    <w:p>
      <w:r>
        <w:t>Pages translated : 2</w:t>
      </w:r>
    </w:p>
    <w:p/>
    <w:p>
      <w:r>
        <w:rPr>
          <w:b/>
        </w:rPr>
        <w:t>[Pages 1–2]</w:t>
      </w:r>
    </w:p>
    <w:p>
      <w:r>
        <w:t xml:space="preserve">FRENCH REPUBLIC  </w:t>
        <w:br/>
        <w:t xml:space="preserve">Decision No. 18-DCC-122 of July 24, 2018  </w:t>
        <w:br/>
        <w:t xml:space="preserve">regarding the joint control acquisition of the company Oissila by the company ITM Entreprises and the company Mayoline  </w:t>
        <w:br/>
        <w:t xml:space="preserve">The Competition Authority,  </w:t>
        <w:br/>
        <w:t xml:space="preserve">Having regard to the complete notification file sent to the mergers department on June 20, 2018, concerning the joint control acquisition of the company Oissila by the company ITM Entreprises and the company Mayoline, and formalized by a letter of intent signed on June 12 and 13, 2018;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joint control acquisition by the company ITM Entreprises and the company Mayoline of the company Oissila, which operates a predominantly food retail outlet with an area of 2,502 m², under the Intermarché brand, located in Belleville-sur-Meuse (55).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18-132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