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https://www.autoritedelaconcurrence.fr/fr/decision-de-controle-des-concentrations/relative-la-prise-de-controle-conjoint-de-la-societe-102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20-DCC-02 of January 10, 2020  </w:t>
        <w:br/>
        <w:t xml:space="preserve">regarding the joint control acquisition of the company Cotilas by the  </w:t>
        <w:br/>
        <w:t xml:space="preserve">companies ITM Entreprises and Loutima  </w:t>
        <w:br/>
        <w:t xml:space="preserve">The Competition Authority,  </w:t>
        <w:br/>
        <w:t xml:space="preserve">Having regard to the notification file, sent to the mergers department on November 7, 2019, declared  </w:t>
        <w:br/>
        <w:t xml:space="preserve">complete on December 23, 2019, concerning the joint control acquisition by the companies  </w:t>
        <w:br/>
        <w:t xml:space="preserve">ITM Entreprises and Loutima of the company Cotilas and formalized by a letter of intent dated  </w:t>
        <w:br/>
        <w:t xml:space="preserve">October 31,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parties during the investigation;  </w:t>
        <w:br/>
        <w:t xml:space="preserve">Adopts the following decision:  </w:t>
        <w:br/>
        <w:t xml:space="preserve">1. The notified operation consists of the joint control acquisition by the companies ITM Entreprises  </w:t>
        <w:br/>
        <w:t xml:space="preserve">and Loutima of the company Cotilas, which operates a retail business predominantly in food under the Intermarché brand, with a surface area of 4,617 m² located in Lisieux (14).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On the other hand, the control thresholds related to  </w:t>
        <w:br/>
        <w:t xml:space="preserve">retail trade mentioned in point II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Single Article: The operation notified under number 19-291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