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https://www.autoritedelaconcurrence.fr/fr/decision-de-controle-des-concentrations/relative-la-prise-de-controle-conjoint-de-la-societe-103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18-DCC-130 of August 1, 2018  </w:t>
        <w:br/>
        <w:t xml:space="preserve">regarding the joint control acquisition of the company Dabicam SAS  </w:t>
        <w:br/>
        <w:t xml:space="preserve">(Westin Paris Hotel) by the companies Henderson and Dubai Holding  </w:t>
        <w:br/>
        <w:t xml:space="preserve">The Competition Authority,  </w:t>
        <w:br/>
        <w:t xml:space="preserve">Having regard to the complete notification file sent to the mergers department on July 11, 2018,  </w:t>
        <w:br/>
        <w:t xml:space="preserve">concerning the joint control acquisition of the company Dabicam SAS by the companies Henderson and  </w:t>
        <w:br/>
        <w:t xml:space="preserve">Dubai Holding, formalized by a transfer contract dated May 23,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a joint control acquisition of the company Dabicam SAS by  </w:t>
        <w:br/>
        <w:t xml:space="preserve">the companies Henderson and Dubai Holding. It constitutes a concentration within the meaning of Article  </w:t>
        <w:br/>
        <w:t xml:space="preserve">L. 430-1 of the Commercial Code. Given the turnover achieved by the companies involved, the notification thresholds of Article 1 paragraph 2 of Regulation (EC) 139/2004  </w:t>
        <w:br/>
        <w:t xml:space="preserve">are not exceeded. The operation therefore does not fall under the jurisdiction of the European Union.  </w:t>
        <w:br/>
        <w:t xml:space="preserve">On the other hand, the control thresholds mentioned in I of Article L. 430-2 of the Commercial Code  </w:t>
        <w:br/>
        <w:t xml:space="preserve">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The markets concerned by the operation are those of asset management and hospitality, which  </w:t>
        <w:br/>
        <w:t xml:space="preserve">are consistently defined by the decision-making practice of the Competition Authority.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in light of point 384 of the guidelines of  </w:t>
        <w:br/>
        <w:t xml:space="preserve">the Competition Authority relating to the control of concentrations, the operation is not likely to  </w:t>
        <w:br/>
        <w:t>harm competition.</w:t>
      </w:r>
    </w:p>
    <w:p>
      <w:r>
        <w:t xml:space="preserve">DECIDES  </w:t>
        <w:br/>
        <w:t xml:space="preserve">Sole Article: The operation notified under number 18-119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