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https://www.autoritedelaconcurrence.fr/fr/decision-de-controle-des-concentrations/relative-la-prise-de-controle-conjoint-de-la-societe-104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18-DCC-147 of August 28, 2018  </w:t>
        <w:br/>
        <w:t xml:space="preserve">regarding the joint control acquisition of the company Egareseaux by the  </w:t>
        <w:br/>
        <w:t xml:space="preserve">VYV and Malakoff Médéric groups  </w:t>
        <w:br/>
        <w:t xml:space="preserve">The Competition Authority,  </w:t>
        <w:br/>
        <w:t xml:space="preserve">Having regard to the complete notification file sent to the mergers department on August 3, 2018,  </w:t>
        <w:br/>
        <w:t xml:space="preserve">concerning the joint control acquisition of the company Egareseaux by the VYV and Malakoff  </w:t>
        <w:br/>
        <w:t xml:space="preserve">Médéric groups, formalized by a letter of intent dated January 24,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Egareseaux by the  </w:t>
        <w:br/>
        <w:t xml:space="preserve">VYV and Malakoff Médéric groups. It constitutes a concentration within the meaning of Article  </w:t>
        <w:br/>
        <w:t xml:space="preserve">L. 430-1 of the Commercial Code. Given the turnover achieved by the companies concerned, the  </w:t>
        <w:br/>
        <w:t xml:space="preserve">notification thresholds of Article 1 paragraph 2 of Regulation (EC) 139/2004 are exceeded, but since  </w:t>
        <w:br/>
        <w:t xml:space="preserve">each of the concerned companies generates more than two-thirds of its turnover within the Union in  </w:t>
        <w:br/>
        <w:t xml:space="preserve">France, the operation does not fall under the jurisdiction of the European Union. On the other hand,  </w:t>
        <w:br/>
        <w:t xml:space="preserve">the control thresholds mentioned in 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The markets concerned by the operation are those of membership in care networks, personal  </w:t>
        <w:br/>
        <w:t xml:space="preserve">insurance, the supply of optical eyewear products, and the supply of hearing aid products, which are  </w:t>
        <w:br/>
        <w:t xml:space="preserve">consistently defined by the decision-making practice of the Competition Authority.  </w:t>
        <w:br/>
        <w:t xml:space="preserve">3. Regardless of the segmentations retained, the combined market shares of the parties are below 25%  </w:t>
        <w:br/>
        <w:t xml:space="preserve">when their activities overlap in the same market and below 30% in upstream, downstream, or related  </w:t>
        <w:br/>
        <w:t xml:space="preserve">markets.  </w:t>
        <w:br/>
        <w:t xml:space="preserve">4. Considering the elements of the file and in particular point 384 of the guidelines of the  </w:t>
        <w:br/>
        <w:t xml:space="preserve">Competition Authority relating to the control of concentrations, the operation is not likely to harm  </w:t>
        <w:br/>
        <w:t>competition.</w:t>
      </w:r>
    </w:p>
    <w:p>
      <w:r>
        <w:t xml:space="preserve">DECIDES  </w:t>
        <w:br/>
        <w:t xml:space="preserve">Sole Article: The operation notified under number 18-147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