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https://www.autoritedelaconcurrence.fr/fr/decision-de-controle-des-concentrations/relative-la-prise-de-controle-conjoint-de-la-societe-105</w:t>
      </w:r>
    </w:p>
    <w:p>
      <w:r>
        <w:t>Pages translated : 2</w:t>
      </w:r>
    </w:p>
    <w:p/>
    <w:p>
      <w:r>
        <w:rPr>
          <w:b/>
        </w:rPr>
        <w:t>[Pages 1–2]</w:t>
      </w:r>
    </w:p>
    <w:p>
      <w:r>
        <w:t xml:space="preserve">FRENCH REPUBLIC  </w:t>
        <w:br/>
        <w:t xml:space="preserve">Decision No. 18-DCC-171 of October 18, 2018  </w:t>
        <w:br/>
        <w:t xml:space="preserve">regarding the joint control acquisition of the company Kamande by the  </w:t>
        <w:br/>
        <w:t xml:space="preserve">companies ITM Entreprises and Combenzo  </w:t>
        <w:br/>
        <w:t xml:space="preserve">The Competition Authority,  </w:t>
        <w:br/>
        <w:t xml:space="preserve">Having regard to the complete notification file submitted to the mergers department on  </w:t>
        <w:br/>
        <w:t xml:space="preserve">September 18, 2018, concerning the joint control acquisition of the company Kamande by the companies  </w:t>
        <w:br/>
        <w:t xml:space="preserve">ITM Entreprises and Combenzo, and formalized by a share transfer agreement dated  </w:t>
        <w:br/>
        <w:t xml:space="preserve">September 11, 2018;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joint control acquisition by the companies ITM Entreprises  </w:t>
        <w:br/>
        <w:t xml:space="preserve">and Combenzo of the company Kamande, which operates a predominantly food retail outlet of the supermarket type with a surface area of 1,200 m², under the brand Intermarché, located  </w:t>
        <w:br/>
        <w:t xml:space="preserve">in Auch (32). It constitutes a concentration operation within the meaning of Article L. 430-1 of the Commercial Code. Given the turnover achieved by the companies concerned,  </w:t>
        <w:br/>
        <w:t xml:space="preserve">the operation does not fall under the jurisdiction of the European Union. On the other hand, the thresholds for control related to retail trade mentioned in point II of Article L. 430-2 of the Commercial Code are exceeded. This operation is therefore subject to the provisions of Articles  </w:t>
        <w:br/>
        <w:t xml:space="preserve">L. 430-3 and following of the Commercial Code relating to economic concentration.  </w:t>
        <w:br/>
        <w:t xml:space="preserve">2. In light of the elements of the file, the operation is not likely to harm competition  </w:t>
        <w:br/>
        <w:t>in the relevant markets.</w:t>
      </w:r>
    </w:p>
    <w:p>
      <w:r>
        <w:t xml:space="preserve">DECIDES  </w:t>
        <w:br/>
        <w:t xml:space="preserve">Sole Article: The operation notified under number 18-208 is authorized.  </w:t>
        <w:br/>
        <w:t xml:space="preserve">The Vice-President,  </w:t>
        <w:br/>
        <w:t xml:space="preserve">Thierry Dahan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