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https://www.autoritedelaconcurrence.fr/fr/decision-de-controle-des-concentrations/relative-la-prise-de-controle-conjoint-de-la-societe-107</w:t>
      </w:r>
    </w:p>
    <w:p>
      <w:r>
        <w:t>Pages translated : 2</w:t>
      </w:r>
    </w:p>
    <w:p/>
    <w:p>
      <w:r>
        <w:rPr>
          <w:b/>
        </w:rPr>
        <w:t>[Pages 1–2]</w:t>
      </w:r>
    </w:p>
    <w:p>
      <w:r>
        <w:t xml:space="preserve">REPUBLIC OF FRANCE  </w:t>
        <w:br/>
        <w:t xml:space="preserve">Decision No. 18-DCC-24 of February 19, 2018  </w:t>
        <w:br/>
        <w:t xml:space="preserve">regarding the joint control acquisition of the company Jacrige by the  </w:t>
        <w:br/>
        <w:t xml:space="preserve">companies ITM Entreprises and Nomadi  </w:t>
        <w:br/>
        <w:t xml:space="preserve">The Competition Authority,  </w:t>
        <w:br/>
        <w:t xml:space="preserve">Having regard to the complete notification file submitted to the mergers department on January 24, 2017,  </w:t>
        <w:br/>
        <w:t xml:space="preserve">concerning the joint control acquisition of the company Jacrige by the companies ITM Entreprises and  </w:t>
        <w:br/>
        <w:t xml:space="preserve">Nomadi, and formalized by a transfer protocol dated January 18, 2018;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joint control acquisition of the company Jacrige, operating a  </w:t>
        <w:br/>
        <w:t xml:space="preserve">retail fuel distribution business in Venelles (13), by the companies ITM Entreprises and Nomadi. It constitutes a concentration operation within the meaning of Article L. 430-1 of the Commercial Code. Given the turnover achieved by the companies involved, the operation does not fall under the jurisdiction of the European Union. On the other hand, the retail trade control thresholds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17-229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