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https://www.autoritedelaconcurrence.fr/fr/decision-de-controle-des-concentrations/relative-la-prise-de-controle-conjoint-de-la-societe-109</w:t>
      </w:r>
    </w:p>
    <w:p>
      <w:r>
        <w:t>Pages translated : 2</w:t>
      </w:r>
    </w:p>
    <w:p/>
    <w:p>
      <w:r>
        <w:rPr>
          <w:b/>
        </w:rPr>
        <w:t>[Pages 1–2]</w:t>
      </w:r>
    </w:p>
    <w:p>
      <w:r>
        <w:t xml:space="preserve">FRENCH REPUBLIC  </w:t>
        <w:br/>
        <w:t xml:space="preserve">Decision No. 18-DCC-84 of May 25, 2018  </w:t>
        <w:br/>
        <w:t xml:space="preserve">regarding the joint control acquisition of the company Sodiper by the  </w:t>
        <w:br/>
        <w:t xml:space="preserve">companies ITM Entreprises and Haldan  </w:t>
        <w:br/>
        <w:t xml:space="preserve">The Competition Authority,  </w:t>
        <w:br/>
        <w:t xml:space="preserve">Having regard to the complete notification file submitted to the mergers department on April 18, 2018,  </w:t>
        <w:br/>
        <w:t xml:space="preserve">concerning the joint control acquisition of the company Sodiper by the companies ITM Entreprises and  </w:t>
        <w:br/>
        <w:t xml:space="preserve">Haldan, and formalized by a share transfer agreement dated April 5, 2018;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companies ITM Entreprises  </w:t>
        <w:br/>
        <w:t xml:space="preserve">and Haldan of the company Sodiper, which operates a food-dominant retail outlet of hypermarket type with a surface area of 3,027 m², under the Intermarché brand, located in Mortagne-du-Perche (61).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18-079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