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w:t>
      </w:r>
    </w:p>
    <w:p>
      <w:r>
        <w:t>Pages translated : 2</w:t>
      </w:r>
    </w:p>
    <w:p/>
    <w:p>
      <w:r>
        <w:rPr>
          <w:b/>
        </w:rPr>
        <w:t>[Pages 1–2]</w:t>
      </w:r>
    </w:p>
    <w:p>
      <w:r>
        <w:t xml:space="preserve">FRENCH REPUBLIC  </w:t>
        <w:br/>
        <w:t xml:space="preserve">Decision No. 11-DCC-113 of July 12, 2011  </w:t>
        <w:br/>
        <w:t xml:space="preserve">regarding the joint control acquisition of the company Financière de  </w:t>
        <w:br/>
        <w:t xml:space="preserve">Transmission Florale Expansion by the investment funds HLD  </w:t>
        <w:br/>
        <w:t xml:space="preserve">and Chevrillon et Associés  </w:t>
        <w:br/>
        <w:t xml:space="preserve">The Competition Authority,  </w:t>
        <w:br/>
        <w:t xml:space="preserve">Having regard to the complete notification file submitted to the mergers department on June 7, 2011,  </w:t>
        <w:br/>
        <w:t xml:space="preserve">concerning the joint control acquisition of the company Financière de Transmission Florale  </w:t>
        <w:br/>
        <w:t xml:space="preserve">Expansion by the investment funds HLD and Chevrillon et Associés;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company Financière de Transmission Florale Expansion (FTLE) is the holding company of the Interflora group, active in the markets of remote floral transmission and wholesale supply of floral product accessories. The notified operation consists of the joint control acquisition of FTLE by the investment funds HLD and Chevrillon et Associés and constitutes a concentration operation within the meaning of Article L. 430-1 of the Commercial Code. Given the turnover achieved by the companies concerned, the operation does not have a community dimension.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11-0104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