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https://www.autoritedelaconcurrence.fr/fr/decision-de-controle-des-concentrations/relative-la-prise-de-controle-conjoint-de-la-societe-112</w:t>
      </w:r>
    </w:p>
    <w:p>
      <w:r>
        <w:t>Pages translated : 2</w:t>
      </w:r>
    </w:p>
    <w:p/>
    <w:p>
      <w:r>
        <w:rPr>
          <w:b/>
        </w:rPr>
        <w:t>[Pages 1–2]</w:t>
      </w:r>
    </w:p>
    <w:p>
      <w:r>
        <w:t xml:space="preserve">FRENCH REPUBLIC  </w:t>
        <w:br/>
        <w:t xml:space="preserve">Decision No. 19-DCC-09 of January 22, 2019  </w:t>
        <w:br/>
        <w:t xml:space="preserve">regarding the joint control acquisition of the company Perrilyon by the  </w:t>
        <w:br/>
        <w:t xml:space="preserve">companies Vancaephi and ITM Entreprises  </w:t>
        <w:br/>
        <w:t xml:space="preserve">The Competition Authority,  </w:t>
        <w:br/>
        <w:t xml:space="preserve">Having regard to the notification file submitted to the mergers department on November 23, 2018, and  </w:t>
        <w:br/>
        <w:t xml:space="preserve">declared complete on December 20, 2018, concerning the joint control acquisition of the company  </w:t>
        <w:br/>
        <w:t xml:space="preserve">Perrilyon by the companies Vancaephi and ITM Entreprises, formalized by a memorandum of understanding  </w:t>
        <w:br/>
        <w:t xml:space="preserve">for the transfer of shares of the company Perrilyon dated October 11, 2018;  </w:t>
        <w:br/>
        <w:t xml:space="preserve">Having regard to Book IV of the Commercial Code relating to the freedom of prices and competition, and  </w:t>
        <w:br/>
        <w:t xml:space="preserve">notably its Articles L. 430-1 to L. 430-7;  </w:t>
        <w:br/>
        <w:t xml:space="preserve">Having regard to the elements transmitted during the investigation by the notifying parties;  </w:t>
        <w:br/>
        <w:t xml:space="preserve">Adopts the following decision:  </w:t>
        <w:br/>
        <w:t xml:space="preserve">1. The notified operation consists of the joint control acquisition by the companies Vancaephi and  </w:t>
        <w:br/>
        <w:t xml:space="preserve">ITM Entreprises of the company Perrilyon, which operates a food-dominant retail outlet of the supermarket type, with an area of 1,588 m², under the brand Intermarché, located in Perriers-sur-Andelle (27).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18-276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