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https://www.autoritedelaconcurrence.fr/fr/decision-de-controle-des-concentrations/relative-la-prise-de-controle-conjoint-de-la-societe-113</w:t>
      </w:r>
    </w:p>
    <w:p>
      <w:r>
        <w:t>Pages translated : 2</w:t>
      </w:r>
    </w:p>
    <w:p/>
    <w:p>
      <w:r>
        <w:rPr>
          <w:b/>
        </w:rPr>
        <w:t>[Pages 1–2]</w:t>
      </w:r>
    </w:p>
    <w:p>
      <w:r>
        <w:t xml:space="preserve">FRENCH REPUBLIC  </w:t>
        <w:br/>
        <w:t xml:space="preserve">Decision No. 19-DCC-41 of March 6, 2019  </w:t>
        <w:br/>
        <w:t xml:space="preserve">regarding the joint control acquisition of the company Financière Groupe Pégase by the companies Mirova, Asterion, and Mr. Stéphane Caine  </w:t>
        <w:br/>
        <w:t xml:space="preserve">The Competition Authority,  </w:t>
        <w:br/>
        <w:t xml:space="preserve">Having regard to the complete notification file submitted to the mergers department on February 18, 2019, concerning the joint control acquisition of the company Financière Groupe Pégase by the companies Mirova, Asterion, and Mr. Stéphane Caine, formalized by a share transfer agreement dated January 17, 2019;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the companies Mirova and Asterion, alongside Mr. Stéphane Caine, of the company Financière Groupe Pégase, which controls the Proxiserve group. The latter is primarily active in the sectors of metering of water, heat, and electricity, installation and maintenance of individual and collective heating technical equipment, multi-technical management and maintenance, electricity supply to the tertiary sector, and charging stations. It constitutes a concentration operation within the meaning of Article L. 430-1 of the Commercial Code.  </w:t>
        <w:br/>
        <w:t xml:space="preserve">Given the turnover achieved by the concerned companies, the notification thresholds of Article 1 paragraph 2 of Regulation (EC) 139/2004 are exceeded, but each of the concerned companies generates more than two-thirds of its turnover within the Union in France, the operation does not fall under the jurisdiction of the European Union. On the other hand, the control thresholds mentioned in point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19-012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