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https://www.autoritedelaconcurrence.fr/fr/decision-de-controle-des-concentrations/relative-la-prise-de-controle-conjoint-de-la-societe-114</w:t>
      </w:r>
    </w:p>
    <w:p>
      <w:r>
        <w:t>Pages translated : 2</w:t>
      </w:r>
    </w:p>
    <w:p/>
    <w:p>
      <w:r>
        <w:rPr>
          <w:b/>
        </w:rPr>
        <w:t>[Pages 1–2]</w:t>
      </w:r>
    </w:p>
    <w:p>
      <w:r>
        <w:t xml:space="preserve">FRENCH REPUBLIC  </w:t>
        <w:br/>
        <w:t xml:space="preserve">Decision No. 19-DCC-47 of March 19, 2019  </w:t>
        <w:br/>
        <w:t xml:space="preserve">regarding the joint control acquisition of the company  </w:t>
        <w:br/>
        <w:t xml:space="preserve">Comexposium Holding by the company Predica (Crédit Agricole Group) and the Paris-Île-de-France Regional Chamber of Commerce and Industry  </w:t>
        <w:br/>
        <w:t xml:space="preserve">The Competition Authority,  </w:t>
        <w:br/>
        <w:t xml:space="preserve">Having regard to the complete notification file submitted to the mergers department on February 13, 2019, concerning the joint control acquisition of the company Comexposium Holding by the company Predica and the Paris-Île-de-France Regional Chamber of Commerce and Industry (hereinafter "the CCIR"), materialized by a share transfer agreement dated February 1,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joint control of the company Comexposium Holding by the CCIR, which already holds joint control alongside the company Watling Street Capital Partners, and the company Predica. Comexposium is primarily active in the market for organizing fairs and exhibitions. This operation constitutes a concentration operation within the meaning of Article L. 430-1 of the Commercial Code. Given the turnover achieved by the companies concerned, the notification thresholds of Article 1 paragraph 2 of Regulation (EC) 139/2004 are exceeded, but since each of the concerned companies generates more than two-thirds of its turnover in the European Union in France, the operation does not fall under the jurisdiction of the European Union. On the other hand, the retail trade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19-014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