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https://www.autoritedelaconcurrence.fr/fr/decision-de-controle-des-concentrations/relative-la-prise-de-controle-conjoint-de-la-societe-116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19-DCC-61 of April 8, 2019  </w:t>
        <w:br/>
        <w:t xml:space="preserve">regarding the joint control of the company Supervet by the  </w:t>
        <w:br/>
        <w:t xml:space="preserve">companies ITM Entreprises and Lugos  </w:t>
        <w:br/>
        <w:t xml:space="preserve">The Competition Authority,  </w:t>
        <w:br/>
        <w:t xml:space="preserve">Having regard to the complete notification file submitted to the mergers department on March 4, 2019,  </w:t>
        <w:br/>
        <w:t xml:space="preserve">concerning the joint control of Supervet by the companies ITM Entreprises and Lugos,  </w:t>
        <w:br/>
        <w:t xml:space="preserve">materialized by a letter of intent dated February 4,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by the companies ITM Entreprises  </w:t>
        <w:br/>
        <w:t xml:space="preserve">and Lugos of the company Supervet, which operates a retail outlet with a dominant food  </w:t>
        <w:br/>
        <w:t xml:space="preserve">supermarket type, with an area of 2,395 m², under the brand Intermarché and located in  </w:t>
        <w:br/>
        <w:t xml:space="preserve">Plaintel (22). 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19-061 is authorized.  </w:t>
        <w:br/>
        <w:t xml:space="preserve">The Vice-President,  </w:t>
        <w:br/>
        <w:t xml:space="preserve">Emmanuel Combe  </w:t>
        <w:br/>
        <w:t xml:space="preserve">© Competition Authority  </w:t>
        <w:br/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