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https://www.autoritedelaconcurrence.fr/fr/decision-de-controle-des-concentrations/relative-la-prise-de-controle-conjoint-de-la-societe-117</w:t>
      </w:r>
    </w:p>
    <w:p>
      <w:r>
        <w:t>Pages translated : 2</w:t>
      </w:r>
    </w:p>
    <w:p/>
    <w:p>
      <w:r>
        <w:rPr>
          <w:b/>
        </w:rPr>
        <w:t>[Pages 1–2]</w:t>
      </w:r>
    </w:p>
    <w:p>
      <w:r>
        <w:t xml:space="preserve">FRENCH REPUBLIC  </w:t>
        <w:br/>
        <w:t xml:space="preserve">Decision No. 19-DCC-104 of May 21, 2019  </w:t>
        <w:br/>
        <w:t xml:space="preserve">regarding the joint control acquisition of the company Vynatya by the  </w:t>
        <w:br/>
        <w:t xml:space="preserve">companies Boussico and ITM Entreprises  </w:t>
        <w:br/>
        <w:t xml:space="preserve">The Competition Authority,  </w:t>
        <w:br/>
        <w:t xml:space="preserve">Having regard to the complete notification file sent to the mergers department on April 11, 2019,  </w:t>
        <w:br/>
        <w:t xml:space="preserve">concerning the joint control acquisition of the company Vynatya by the companies Boussico and ITM  </w:t>
        <w:br/>
        <w:t xml:space="preserve">Entreprises, and formalized by a letter of intent dated January 15, 2019;  </w:t>
        <w:br/>
        <w:t xml:space="preserve">Having regard to Book IV of the Commercial Code relating to the freedom of prices and competition, and  </w:t>
        <w:br/>
        <w:t xml:space="preserve">notably its Articles L. 430-1 to L. 430-7;  </w:t>
        <w:br/>
        <w:t xml:space="preserve">Having regard to the additional elements transmitted by the notifying party during the investigation;  </w:t>
        <w:br/>
        <w:t xml:space="preserve">Adopts the following decision:  </w:t>
        <w:br/>
        <w:t xml:space="preserve">1. The notified operation consists of the joint control acquisition by the companies Boussico and ITM  </w:t>
        <w:br/>
        <w:t xml:space="preserve">Entreprises of the company Vynatya, which operates four retail stores primarily focused on food under the Intermarché group brands, including a hypermarket with a gas station with a surface area of 5,298 m² located in Pontivy (56), two supermarkets with surface areas of 797 m² and 664 m², located in Pontivy (56), and a discount store with a surface area of 299 m² located in Loudéac (22).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19-062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