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https://www.autoritedelaconcurrence.fr/fr/decision-de-controle-des-concentrations/relative-la-prise-de-controle-conjoint-de-la-societe-119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19-DCC-53 of March 28, 2019  </w:t>
        <w:br/>
        <w:t xml:space="preserve">regarding the joint control acquisition of the company Durance Topco by  </w:t>
        <w:br/>
        <w:t xml:space="preserve">the company Tenergie and the Caisse des dépôts et consignations  </w:t>
        <w:br/>
        <w:t xml:space="preserve">The Competition Authority,  </w:t>
        <w:br/>
        <w:t xml:space="preserve">Having regard to the complete notification file sent to the mergers department on February 21, 2019,  </w:t>
        <w:br/>
        <w:t xml:space="preserve">concerning the transition from joint control by the company DIF and by the Caisse des dépôts et  </w:t>
        <w:br/>
        <w:t xml:space="preserve">consignations ("CDC") to joint control by the company Tenergie and by the CDC over  </w:t>
        <w:br/>
        <w:t xml:space="preserve">Durance Topco ("Durance"), formalized by a share transfer agreement dated December 20,  </w:t>
        <w:br/>
        <w:t xml:space="preserve">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transition from joint control by DIF and by the CDC to joint  </w:t>
        <w:br/>
        <w:t xml:space="preserve">control by Tenergie and by the CDC over the fully operational joint venture Durance. It constitutes a  </w:t>
        <w:br/>
        <w:t xml:space="preserve">concentration within the meaning of Article L. 430-1 of the Commercial Code. Given the turnover  </w:t>
        <w:br/>
        <w:t xml:space="preserve">achieved by the companies concerned, the operation does not fall under the jurisdiction of the  </w:t>
        <w:br/>
        <w:t xml:space="preserve">European Union. On the other hand, the control thresholds mentioned in I of Article L. 430-2 of the  </w:t>
        <w:br/>
        <w:t xml:space="preserve">Commercial Code are exceeded. This operation is therefore subject to the provisions of Articles L.  </w:t>
        <w:br/>
        <w:t xml:space="preserve">430-3 and following of the Commercial Code relating to economic concentration.  </w:t>
        <w:br/>
        <w:t xml:space="preserve">2. The markets concerned by the operation are those of the production and wholesale sale of  </w:t>
        <w:br/>
        <w:t xml:space="preserve">electricity, and the development, construction, operation, and maintenance of photovoltaic power  </w:t>
        <w:br/>
        <w:t xml:space="preserve">plants, which are consistently defined by the decision-making practice of the competition authorities.  </w:t>
        <w:br/>
        <w:t xml:space="preserve">3. Regardless of the segmentations retained, the combined market shares of the parties are below 25%  </w:t>
        <w:br/>
        <w:t xml:space="preserve">when their activities overlap and below 30% in upstream, downstream, or related markets.  </w:t>
        <w:br/>
        <w:t xml:space="preserve">1 Except for the markets where the CDC, via RTE, is in a regulated monopoly situation, for which any  </w:t>
        <w:br/>
        <w:t>competitive risk can be excluded.</w:t>
      </w:r>
    </w:p>
    <w:p>
      <w:r>
        <w:t xml:space="preserve">4. Given the elements of the file and in particular in view of point 384 of the guidelines of the  </w:t>
        <w:br/>
        <w:t xml:space="preserve">Competition Authority relating to the control of concentrations, the operation is not likely to harm  </w:t>
        <w:br/>
        <w:t xml:space="preserve">competition.  </w:t>
        <w:br/>
        <w:t xml:space="preserve">DECIDES  </w:t>
        <w:br/>
        <w:t xml:space="preserve">Sole Article: The operation notified under number 19-030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