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https://www.autoritedelaconcurrence.fr/fr/decision-de-controle-des-concentrations/relative-la-prise-de-controle-conjoint-de-la-societe-120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20-DCC-03 of January 10, 2020  </w:t>
        <w:br/>
        <w:t xml:space="preserve">regarding the joint control acquisition of the company Nuduossi by the  </w:t>
        <w:br/>
        <w:t>companies ITM Entreprises and Sesyclau</w:t>
      </w:r>
    </w:p>
    <w:p>
      <w:r>
        <w:t>The Competition Authority,</w:t>
      </w:r>
    </w:p>
    <w:p>
      <w:r>
        <w:t xml:space="preserve">Having regard to the notification file, fully submitted to the mergers department on December 9, 2019,  </w:t>
        <w:br/>
        <w:t xml:space="preserve">concerning the joint control acquisition by the companies ITM Entreprises and Sesyclau of the company  </w:t>
        <w:br/>
        <w:t xml:space="preserve">Nuduossi, formalized by a letter of intent dated November 22,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>Having regard to the additional elements provided by the notifying parties during the investigation;</w:t>
      </w:r>
    </w:p>
    <w:p>
      <w:r>
        <w:t>Adopts the following decision:</w:t>
      </w:r>
    </w:p>
    <w:p>
      <w:r>
        <w:t xml:space="preserve">1. The notified operation consists of the joint control acquisition by the companies ITM Entreprises  </w:t>
        <w:br/>
        <w:t xml:space="preserve">and Sesyclau of the company Nuduossi, which operates a business primarily focused on food under the Intermarché brand, with a surface area of 1,901 m² located in Issoudun (36). It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fall under the jurisdiction of the European Union. On the other hand, the control thresholds related to  </w:t>
        <w:br/>
        <w:t xml:space="preserve">retail trade mentioned in point II of Article L. 430-2 of the Commercial Code are exceeded. This operation is therefore subject to the provisions of Articles L. 430-3 and  </w:t>
        <w:br/>
        <w:t>following of the Commercial Code relating to 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19-327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