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https://www.autoritedelaconcurrence.fr/fr/decision-de-controle-des-concentrations/relative-la-prise-de-controle-conjoint-de-la-societe-121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19-DCC-149 of July 25, 2019  </w:t>
        <w:br/>
        <w:t xml:space="preserve">regarding the joint control acquisition of the company Damelie by the  </w:t>
        <w:br/>
        <w:t xml:space="preserve">companies Sagath and ITM Entreprises  </w:t>
        <w:br/>
        <w:t xml:space="preserve">The Competition Authority,  </w:t>
        <w:br/>
        <w:t xml:space="preserve">Having regard to the complete notification file sent to the mergers department on July 3, 2019,  </w:t>
        <w:br/>
        <w:t xml:space="preserve">concerning the joint control acquisition of the company Damelie by the companies Sagath and  </w:t>
        <w:br/>
        <w:t xml:space="preserve">ITM Entreprises, and formalized by a memorandum of understanding dated May 24, 2019;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companies Sagath and ITM  </w:t>
        <w:br/>
        <w:t xml:space="preserve">Entreprises of the company Damelie, which operates a retail outlet primarily selling food  </w:t>
        <w:br/>
        <w:t xml:space="preserve">of the hypermarket type, with a surface area of 2,950 m², under the Intermarché brand and located in Eu (76).  </w:t>
        <w:br/>
        <w:t xml:space="preserve">It constitutes a concentration operation within the meaning of Article L. 430-1 of the Commercial Code.  </w:t>
        <w:br/>
        <w:t xml:space="preserve">Given the turnover achieved by the companies concerned, the operation does not fall under the jurisdiction of the European Union.  </w:t>
        <w:br/>
        <w:t xml:space="preserve">On the other hand, the control thresholds related to retail trade mentioned in point II of Article L. 430-2 of the Commercial Code are exceeded.  </w:t>
        <w:br/>
        <w:t xml:space="preserve">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19-171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