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https://www.autoritedelaconcurrence.fr/fr/decision-de-controle-des-concentrations/relative-la-prise-de-controle-conjoint-de-la-societe-122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19-DCC-163 of August 23, 2019  </w:t>
        <w:br/>
        <w:t xml:space="preserve">regarding the joint control acquisition of the company Roubaix-Dis by the  </w:t>
        <w:br/>
        <w:t xml:space="preserve">company Filissiti alongside the Association of E. Leclerc Distributor Centers  </w:t>
        <w:br/>
        <w:t xml:space="preserve">The Competition Authority,  </w:t>
        <w:br/>
        <w:t xml:space="preserve">Having regard to the complete notification file sent to the mergers department on July 26, 2019,  </w:t>
        <w:br/>
        <w:t xml:space="preserve">concerning the joint control acquisition of the company Roubaix-Dis by the company Filissiti and  </w:t>
        <w:br/>
        <w:t xml:space="preserve">the Association of E. Leclerc Distributor Centers, and formalized by a share transfer promise  </w:t>
        <w:br/>
        <w:t xml:space="preserve">dated July 8,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acquisition, by the company Filissiti alongside  </w:t>
        <w:br/>
        <w:t xml:space="preserve">the Association of E. Leclerc Distributor Centers, of the company Roubaix-Dis, which  </w:t>
        <w:br/>
        <w:t xml:space="preserve">operates a predominantly food retail outlet of the hypermarket type, with a surface area of  </w:t>
        <w:br/>
        <w:t xml:space="preserve">8,261 m², under the E. Leclerc brand, located in Roubaix (59). It constitutes a  </w:t>
        <w:br/>
        <w:t xml:space="preserve">concentration operation within the meaning of Article L. 430-1 of the Commercial Code. Given the  </w:t>
        <w:br/>
        <w:t xml:space="preserve">turnover achieved by the companies concerned, the operation does not fall under the jurisdiction of  </w:t>
        <w:br/>
        <w:t xml:space="preserve">the European Union. On the other hand, the retail control thresholds mentioned in II of Article L. 430-2  </w:t>
        <w:br/>
        <w:t xml:space="preserve">of the 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19-204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