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https://www.autoritedelaconcurrence.fr/fr/decision-de-controle-des-concentrations/relative-la-prise-de-controle-conjoint-de-la-societe-123</w:t>
      </w:r>
    </w:p>
    <w:p>
      <w:r>
        <w:t>Pages translated : 2</w:t>
      </w:r>
    </w:p>
    <w:p/>
    <w:p>
      <w:r>
        <w:rPr>
          <w:b/>
        </w:rPr>
        <w:t>[Pages 1–2]</w:t>
      </w:r>
    </w:p>
    <w:p>
      <w:r>
        <w:t xml:space="preserve">FRENCH REPUBLIC  </w:t>
        <w:br/>
        <w:t xml:space="preserve">Decision No. 20-DCC-05 of January 15, 2020  </w:t>
        <w:br/>
        <w:t xml:space="preserve">regarding the joint control acquisition of the company Pyreval by the  </w:t>
        <w:br/>
        <w:t xml:space="preserve">companies Chlomallie and ITM Entreprises  </w:t>
        <w:br/>
        <w:t xml:space="preserve">The Competition Authority,  </w:t>
        <w:br/>
        <w:t xml:space="preserve">Having regard to the notification file, fully addressed to the mergers department on  </w:t>
        <w:br/>
        <w:t xml:space="preserve">December 26, 2019, concerning the joint control acquisition by the companies Chlomallie and  </w:t>
        <w:br/>
        <w:t xml:space="preserve">ITM Entreprises of the company Pyreval, materialized by a synallagmatic promise of  </w:t>
        <w:br/>
        <w:t xml:space="preserve">transfer of shares dated December 20,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Chlomallie and  </w:t>
        <w:br/>
        <w:t xml:space="preserve">ITM Entreprises of the company Pyreval, which operates a business primarily focused on food under the Intermarché brand, with an area of 5,600 m² located in Pamiers (09).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19-344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