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https://www.autoritedelaconcurrence.fr/fr/decision-de-controle-des-concentrations/relative-la-prise-de-controle-conjoint-de-la-societe-126</w:t>
      </w:r>
    </w:p>
    <w:p>
      <w:r>
        <w:t>Pages translated : 2</w:t>
      </w:r>
    </w:p>
    <w:p/>
    <w:p>
      <w:r>
        <w:rPr>
          <w:b/>
        </w:rPr>
        <w:t>[Pages 1–2]</w:t>
      </w:r>
    </w:p>
    <w:p>
      <w:r>
        <w:t xml:space="preserve">REPUBLIC OF FRANCE  </w:t>
        <w:br/>
        <w:t xml:space="preserve">Decision No. 19-DCC-220 of November 25, 2019  </w:t>
        <w:br/>
        <w:t xml:space="preserve">regarding the joint control acquisition of the company Bofidis by the  </w:t>
        <w:br/>
        <w:t xml:space="preserve">Cooperative U Enseigne and Mr. Bacquet  </w:t>
        <w:br/>
        <w:t xml:space="preserve">The Competition Authority,  </w:t>
        <w:br/>
        <w:t xml:space="preserve">Having regard to the notification file sent to the mergers department on October 18, 2019, declared complete on October 18, 2019, concerning the joint control acquisition by the Cooperative U Enseigne and Mr. Bacquet of the company Bofidis and formalized by a letter of intent dated March 4, 2019;  </w:t>
        <w:br/>
        <w:t xml:space="preserve">Having regard to Book IV of the Commercial Code relating to the freedom of prices and competition, and in particular its Articles L. 430-1 to L. 430-7;  </w:t>
        <w:br/>
        <w:t xml:space="preserve">Having regard to the additional elements provided by the notifying parties during the investigation;  </w:t>
        <w:br/>
        <w:t xml:space="preserve">Adopts the following decision:  </w:t>
        <w:br/>
        <w:t xml:space="preserve">1. The notified operation consists of the joint control acquisition by the Cooperative U Enseigne and Mr. Bacquet of the company Bofidis, which operates a retail business primarily focused on food under the Super U brand, with a surface area of 2,262 m² located in Boofzheim (67). It constitutes a concentration operation within the meaning of Article L. 430-1 of the Commercial Code. Given the turnover achieved by the concerned companies,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19-266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