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https://www.autoritedelaconcurrence.fr/fr/decision-de-controle-des-concentrations/relative-la-prise-de-controle-conjoint-de-la-societe-128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19-DCC-242 of December 13, 2019  </w:t>
        <w:br/>
        <w:t xml:space="preserve">regarding the joint control of the company Olibanne by the  </w:t>
        <w:br/>
        <w:t xml:space="preserve">companies Stenivest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21, 2019, concerning the joint control by the companies Stenivest and ITM  </w:t>
        <w:br/>
        <w:t xml:space="preserve">Entreprises of the company Olibanne, formalized by a letter of intent dated  </w:t>
        <w:br/>
        <w:t xml:space="preserve">October 11,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by the companies Stenivest and ITM  </w:t>
        <w:br/>
        <w:t xml:space="preserve">Entreprises of the company Olibanne, which operates a predominantly food retail outlet  </w:t>
        <w:br/>
        <w:t xml:space="preserve">of the supermarket type under the Intermarché brand, with a surface area of 873 m², located in Villeurbanne  </w:t>
        <w:br/>
        <w:t xml:space="preserve">(69). It constitutes a concentration operation within the meaning of Article L. 430-1 of the Commercial Code.  </w:t>
        <w:br/>
        <w:t xml:space="preserve">Given the revenues generated by the companies concerned, the operation does not fall under the jurisdiction of the European Union.  </w:t>
        <w:br/>
        <w:t xml:space="preserve">On the other hand, the control thresholds related to retail trade mentioned in point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19-314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