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20-DCC-24 of February 19, 2020  </w:t>
        <w:br/>
        <w:t xml:space="preserve">regarding the joint control acquisition of the company Proplast by the  </w:t>
        <w:br/>
        <w:t xml:space="preserve">company Ardian and Mr. Philippe Berthe  </w:t>
        <w:br/>
        <w:t xml:space="preserve">The Competition Authority,  </w:t>
        <w:br/>
        <w:t xml:space="preserve">Having regard to the complete notification file sent to the mergers department on January 29, 2020,  </w:t>
        <w:br/>
        <w:t xml:space="preserve">concerning the joint control acquisition of the company Proplast by the company Ardian and  </w:t>
        <w:br/>
        <w:t xml:space="preserve">Mr. Philippe Berthe, formalized by an investment and acquisition protocol dated December 9,  </w:t>
        <w:br/>
        <w:t xml:space="preserve">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joint control acquisition by the company Ardian and  </w:t>
        <w:br/>
        <w:t xml:space="preserve">Mr. Philippe Berthe of the company Proplast, which is active in the markets of the manufacture  </w:t>
        <w:br/>
        <w:t xml:space="preserve">of rigid plastic food trays and plastic cups as well as in the market for molds and tooling for  </w:t>
        <w:br/>
        <w:t xml:space="preserve">plastic injection.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only market concerned by the operation is the market for molds and tooling for  </w:t>
        <w:br/>
        <w:t xml:space="preserve">plastic injection. This market is consistently defined by the decision-making practice of the  </w:t>
        <w:br/>
        <w:t xml:space="preserve">competition authorities.  </w:t>
        <w:br/>
        <w:t xml:space="preserve">3. In this market, regardless of the segmentations retained, the combined market shares of  </w:t>
        <w:br/>
        <w:t xml:space="preserve">the parties are below 25%.  </w:t>
        <w:br/>
        <w:t xml:space="preserve">4. Given the elements of the file and notably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20-002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