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11-DCC-158 of November 2, 2011  </w:t>
        <w:br/>
        <w:t xml:space="preserve">regarding the joint control acquisition of the company Surisal by the  </w:t>
        <w:br/>
        <w:t xml:space="preserve">companies ITM Entreprises and Pigisa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10, 2011, concerning the joint control acquisition of the company Surisal by the companies  </w:t>
        <w:br/>
        <w:t xml:space="preserve">ITM Entreprises and Pigisa;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Surisal, operating  </w:t>
        <w:br/>
        <w:t xml:space="preserve">a predominantly food distribution business, under the Intermarché brand,  </w:t>
        <w:br/>
        <w:t xml:space="preserve">with an area of 2,000 m2 and located in the city of Montluçon (03), by the company ITM  </w:t>
        <w:br/>
        <w:t xml:space="preserve">Entreprises alongside the company SAS Pigisa. It constitutes a concentration operation  </w:t>
        <w:br/>
        <w:t xml:space="preserve">within the meaning of Article L. 430-1 of the Commercial Code. Given the turnover  </w:t>
        <w:br/>
        <w:t xml:space="preserve">achieved by the companies concerned, the operation does not have a community dimension.  </w:t>
        <w:br/>
        <w:t xml:space="preserve">On the other hand, the retail control thresholds mentioned in point II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11-0178 is authorized.  </w:t>
        <w:br/>
        <w:t xml:space="preserve">The Vice-President,  </w:t>
        <w:br/>
        <w:t xml:space="preserve">Françoise Aubert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