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https://www.autoritedelaconcurrence.fr/fr/decision-de-controle-des-concentrations/relative-la-prise-de-controle-conjoint-de-la-societe-130</w:t>
      </w:r>
    </w:p>
    <w:p>
      <w:r>
        <w:t>Pages translated : 9</w:t>
      </w:r>
    </w:p>
    <w:p/>
    <w:p>
      <w:r>
        <w:rPr>
          <w:b/>
        </w:rPr>
        <w:t>[Pages 1–3]</w:t>
      </w:r>
    </w:p>
    <w:p>
      <w:r>
        <w:t xml:space="preserve">FRENCH REPUBLIC  </w:t>
        <w:br/>
        <w:t xml:space="preserve">Decision No. 20-DCC-28 of March 3, 2020  </w:t>
        <w:br/>
        <w:t xml:space="preserve">regarding the joint control of the company  </w:t>
        <w:br/>
        <w:t xml:space="preserve">Financière Pain Frotté by the groups Kin Siong, Lam Tow, and  </w:t>
        <w:br/>
        <w:t>Yong Wai Man</w:t>
      </w:r>
    </w:p>
    <w:p>
      <w:r>
        <w:t xml:space="preserve">The Competition Authority,  </w:t>
        <w:br/>
        <w:t xml:space="preserve">Having regard to the notification file sent to the merger service on November 5, 2019, and declared complete on January 7, 2020, regarding the joint control of the company Financière Pain Frotté by the groups Kin Siong, Lam Tow, and Yong Wai Man, formalized by a memorandum of understanding dated May 25, 2019;  </w:t>
        <w:br/>
        <w:t xml:space="preserve">Having regard to Book IV of the Commercial Code relating to the freedom of prices and competition, and in particular its Articles L. 430-1 to L. 430-7;  </w:t>
        <w:br/>
        <w:t xml:space="preserve">Having regard to the commitments transmitted on February 5, 2020;  </w:t>
        <w:br/>
        <w:t xml:space="preserve">Having regard to the additional elements submitted by the notifying parties during the investigation;  </w:t>
        <w:br/>
        <w:t xml:space="preserve">Having regard to the other documents in the file;  </w:t>
        <w:br/>
        <w:t>Adopts the following decision:</w:t>
      </w:r>
    </w:p>
    <w:p>
      <w:r>
        <w:t xml:space="preserve">I. The concerned companies and the operation  </w:t>
        <w:br/>
        <w:t xml:space="preserve">1. Kin Siong is a family group specialized in the operation of hypermarkets and supermarkets on the island of La Réunion. It is also active in the catering sectors (operation of bars, restaurants, snacks, take-out points, etc.), service provision activities, hospitality, and real estate.  </w:t>
        <w:br/>
        <w:t xml:space="preserve">2. Lam Tow is a family group specialized in the retail sale of everyday consumer goods predominantly food-related on the island of La Réunion. It jointly controls, alongside the Kin Siong group, the company KL Distribution1. This company holds various subsidiaries that operate three supermarkets on the island of La Réunion.  </w:t>
        <w:br/>
        <w:t>1 The capital of KL Distribution is indirectly held at 50% by the Kin Siong group and at 50% by the Lam Tow group.</w:t>
      </w:r>
    </w:p>
    <w:p>
      <w:r>
        <w:t xml:space="preserve">3. Yong Wai Man is a family group specialized in the production and wholesale distribution of industrial bakery-pastry products. The group is also active in the out-of-home catering sector (appetizers, dishes, savory pies, homemade pasta).  </w:t>
        <w:br/>
        <w:t xml:space="preserve">4. The Pain Frotté group operates twelve artisanal bakery businesses on the island of La Réunion, under the brands "L’Ambassadeur," "Délicatesses Casta," and "Pain Frotté." It also engages in the manufacturing and sale of sorbets, ice creams, confectionery, and chocolate products, as well as the sale of newspapers, tobacco, and beverages.  </w:t>
        <w:br/>
        <w:t xml:space="preserve">5. The operation, formalized by a memorandum of understanding dated May 25, 2019, involves the acquisition of all the shares of the Pain Frotté group by the company Newco, a newly created company, jointly controlled by the Yong Wai Man group2 and by KL Distribution, which is itself 50% owned by the Lam Tow group3 and 50% by the Kin Siong group4.  </w:t>
        <w:br/>
        <w:t xml:space="preserve">6. As it results in the joint control of the Pain Frotté group by the Kin Siong, Lam Tow, and Yong Wai Man groups, the notified operation constitutes a concentration within the meaning of Article L. 430-1 of the Commercial Code.  </w:t>
        <w:br/>
        <w:t>7. The concerned companies together achieve a total turnover excluding taxes on a global scale exceeding 75 million euros (Kin Siong: 7.3 million euros for the fiscal year ending December 31, 2018; Lam Tow: 24.5 million euros for the same fiscal year; Yong Wai Man: 35.7 million euros for the same fiscal year; Pain Frotté: 12.9 million euros for the same fiscal year). At least two of the concerned companies individually achieve a turnover in the retail sector on the island of La Réunion exceeding 5 million euros (Lam Tow: 24 million euros for the fiscal year ending December 31, 2018; Pain Frotté: 12.9 million euros for the same fiscal year). Given these turnover figures, the operation does not have a European dimension. However, the control thresholds mentioned in III of Article L. 430-2 of the Commercial Code are exceeded. This operation is therefore subject to the provisions of Articles L. 430-3 and following of the Commercial Code, relating to economic concentration.</w:t>
      </w:r>
    </w:p>
    <w:p>
      <w:r>
        <w:t xml:space="preserve">II. Delimitation of the relevant markets  </w:t>
        <w:br/>
        <w:t xml:space="preserve">8. The parties are concurrently active in the markets for bakery-pastry-viennoiserie products (hereinafter "BVP"). While the acquiring groups are active, through the Yong Wai Man group, in the production and retail distribution of industrial BVP products, the target is exclusively active in the retail distribution of artisanal BVP products.  </w:t>
        <w:br/>
        <w:t xml:space="preserve">2 Through the company Holding RNG, 100% owned by the Yong Wai Man group.  </w:t>
        <w:br/>
        <w:t xml:space="preserve">3 Through the company Lam Tow, 100% owned by the Lam Tow group.  </w:t>
        <w:br/>
        <w:t>4 Through the company Fiks, 100% owned by the Kin Siong group.</w:t>
      </w:r>
    </w:p>
    <w:p>
      <w:r>
        <w:t xml:space="preserve">A. THE UPSTREAM MARKET FOR INDUSTRIAL BAKERY-VIENNOISERIE-PASTRY PRODUCTS  </w:t>
        <w:br/>
        <w:t xml:space="preserve">1. PRODUCT MARKETS  </w:t>
        <w:br/>
        <w:t xml:space="preserve">9. In the sector of industrial BVP products, the Competition Authority (hereinafter "the Authority") makes a first distinction between bakery (breads and bread substitutes), viennoiserie (croissants, pains au chocolat, pains aux raisins, turnovers, etc.) and pastry, as well as a second distinction between fresh products and frozen products5.  </w:t>
        <w:br/>
        <w:t xml:space="preserve">10. Regarding bakery and viennoiserie products, both fresh and frozen, the Authority has considered a segmentation between "ready-to-push" products, "ready-to-cook" products, and "cooked" products6.  </w:t>
        <w:br/>
        <w:t xml:space="preserve">11. Regarding pastry products, the Authority7 has considered four segmentations (between industrial biscuits and preserved pastries, depending on the type of recipes or specialties chosen for the manufacture of biscuits, according to the distribution channel and according to the commercial positioning of the products).  </w:t>
        <w:br/>
        <w:t xml:space="preserve">12. In this case, only the Yong Wai Man group is active in these markets for the manufacture of industrial BVP products, particularly in frozen products.  </w:t>
        <w:br/>
        <w:t xml:space="preserve">13. The question of the exact delimitation of these markets can, however, be left open, as the conclusions of the competitive analysis remain unchanged regardless of the segmentation retained.  </w:t>
        <w:br/>
        <w:t xml:space="preserve">2. GEOGRAPHICAL MARKET  </w:t>
        <w:br/>
        <w:t xml:space="preserve">14. In the food sector, competition authorities traditionally consider markets as having a national dimension. In the sector of industrial BVP products, the Authority has reached the same conclusions, particularly considering the consumption habits specific to each country8.  </w:t>
        <w:br/>
        <w:t xml:space="preserve">15. However, regarding the overseas departments and regions (hereinafter "DROM"), the Authority has repeatedly emphasized the specific nature of the supply circuits for consumer goods and its effects on the competitive balance of the concerned markets9. It has also indicated that part of the supply for food-dominant retail brands comes from local producers, in order to respond to local tastes and eating habits, but also to limit import costs, including maritime freight and customs duties.  </w:t>
        <w:br/>
        <w:t xml:space="preserve">5 Decision of the Authority No. 11-DCC-77 of May 16, 2011, regarding the exclusive control of the Brossard group by the Limagrain group.  </w:t>
        <w:br/>
        <w:t xml:space="preserve">6 Decision No. 11-DCC-56 of April 4, 2011, regarding the exclusive control of the BCS group by the Neuhauser group.  </w:t>
        <w:br/>
        <w:t xml:space="preserve">7 See in particular the letters from the Minister C2006-115 of December 8, 2006, to the councils of the Biscuiterie de la Baie du Mont Saint Michel, regarding a concentration in the biscuit and industrial pastry sector, and C2007-109 of August 27, 2007, to the councils of the Galapagos and Norac companies, regarding a concentration in the sector of manufacturing and marketing industrial pastries, and the decision of the Competition Authority No. 10-DCC-173 of November 29, 2010, regarding the exclusive control of the Mom group by LBO France Gestion.  </w:t>
        <w:br/>
        <w:t xml:space="preserve">8 Ibid.  </w:t>
        <w:br/>
        <w:t>9 Opinion of the Competition Council No. 09-A-45 of September 8, 2009, regarding the mechanisms of import and distribution of consumer goods in the overseas departments.</w:t>
      </w:r>
    </w:p>
    <w:p>
      <w:r>
        <w:rPr>
          <w:b/>
        </w:rPr>
        <w:t>[Pages 4–6]</w:t>
      </w:r>
    </w:p>
    <w:p>
      <w:r>
        <w:t>sea. It thus considered that the geographic markets could be limited to each DROM, on one hand, and to the Antilles-Guyana area, on the other hand10.</w:t>
      </w:r>
    </w:p>
    <w:p>
      <w:r>
        <w:t>16. In this case, the Yong Wai Man group is only active on the island of La Réunion and does not export its BVP products. The notifying parties consider that the upstream markets for industrial BVP products are limited to the island of La Réunion.</w:t>
      </w:r>
    </w:p>
    <w:p>
      <w:r>
        <w:t>17. The analysis of the upstream markets for BVP products will therefore be conducted on the territory of the island of La Réunion.</w:t>
      </w:r>
    </w:p>
    <w:p>
      <w:r>
        <w:t>B. THE DOWNSTREAM MARKET OF RETAIL DISTRIBUTION OF BAKERY-PASTRY-VIENNOISERIE PRODUCTS</w:t>
      </w:r>
    </w:p>
    <w:p>
      <w:r>
        <w:t>1. PRODUCT MARKET</w:t>
      </w:r>
    </w:p>
    <w:p>
      <w:r>
        <w:t>18. Regarding the retail sale of everyday consumer goods, competition authorities, both European and national, have distinguished six categories of businesses using several criteria, including store size, sales techniques, accessibility, the nature of the service provided, and the range of products offered: (i) hypermarkets, (ii) supermarkets, (iii) specialized retail, (iv) small retail, (v) discount stores, and (vi) mail order11.</w:t>
      </w:r>
    </w:p>
    <w:p>
      <w:r>
        <w:t>19. More specifically concerning the distribution of BVP products, these are distributed in bakeries but can also be distributed in large food stores as well as in certain fast food outlets.</w:t>
      </w:r>
    </w:p>
    <w:p>
      <w:r>
        <w:t>20. In this case, the Pain Frotté group operates BVP businesses in city centers, which are specialized stores. The Yong Wai Man group also operates a bakery through its subsidiary SARL Boulangerie Yong. The Lam Tow group distributes bakery products in its supermarkets. Finally, the Kin Siong group distributes BVP products in its specialized "hot spot" store operated by its subsidiary SAS Irch and in its supermarkets.</w:t>
      </w:r>
    </w:p>
    <w:p>
      <w:r>
        <w:t>21. Competition authorities consider that, while each category of store retains its specificity, there is asymmetric competition between some of these categories. For example, they consider that a hypermarket can typically be used by some consumers as a convenience store, substituting for a supermarket. Conversely, the reverse is almost never verified, and it is even less so the larger the hypermarket in question12.</w:t>
      </w:r>
    </w:p>
    <w:p>
      <w:r>
        <w:t>10 See the decisions of the Competition Authority No. 10-DCC-25 of March 19, 2010, regarding the exclusive control of assets of the Louis Delhaize group by H Distribution (Hoio group), No. 10-DCC-197 of December 30, 2010, regarding the control of a business by Ho Hio Hen Investissements Outre Mer, and No. 11-DCC-45 of March 18, 2011, regarding the acquisition of exclusive control of the Cora Desmarais hypermarket business by Sodex Desmarais.</w:t>
      </w:r>
    </w:p>
    <w:p>
      <w:r>
        <w:t>11 See, for example, the decisions of the European Commission M.1221 Rewe/Meinl of February 3, 1999, M.1684 Carrefour/Promodès of January 25, 2000, and M.2115 Carrefour/GB of September 28, 2000. Also see the decision of the Minister responsible for the economy C.2005-98 Carrefour/Penny Market of November 10, 2005, and the decisions of the Competition Authority No. 12-DCC-48 of April 6, 2012, regarding the exclusive control of Sofides by ITM Entreprises, No. 12-DCC-63 of May 9, 2012, regarding the exclusive control of Guyenne et Gascogne SA by Carrefour SA, and No. 13-DCC-90 of July 11, 2013, regarding the exclusive control of Monoprix by Casino Guichard-Perrachon.</w:t>
      </w:r>
    </w:p>
    <w:p>
      <w:r>
        <w:t>12 The Authority may also be led to consider such reasoning taking into account the existence of asymmetric competition between points of sale when analyzing the competition exerted by large food stores on specialized large stores. See, for example, the decision of the Competition Authority No. 20-DCC-06 of January 15, 2020, regarding the joint control of the Picard Group by the Zaouri family and Lion Capital.</w:t>
      </w:r>
    </w:p>
    <w:p>
      <w:r>
        <w:t>22. Furthermore, the Authority recently considered, regarding the distribution of frozen products and ice creams, that the market includes both specialized large stores and large food stores with a surface area greater than 120 square meters, although the latter are imperfect substitutes for specialized large stores.</w:t>
      </w:r>
    </w:p>
    <w:p>
      <w:r>
        <w:t>23. In this case, it can thus be considered that food-dominant points of sale and hot spots offering BVP products constitute an alternative to bakeries regarding the distribution of BVP products.</w:t>
      </w:r>
    </w:p>
    <w:p>
      <w:r>
        <w:t>24. In conclusion, the market for the retail distribution of BVP products includes both bakeries and non-specialized points of sale offering this type of product.</w:t>
      </w:r>
    </w:p>
    <w:p>
      <w:r>
        <w:t>2. GEOGRAPHIC MARKET</w:t>
      </w:r>
    </w:p>
    <w:p>
      <w:r>
        <w:t>25. In the sector of food-dominant retail distribution, competition authorities examine the effects of concentrations at the local level, corresponding to the catchment area associated with each point of sale, the extent of which depends on the transport time for the consumer.</w:t>
      </w:r>
    </w:p>
    <w:p>
      <w:r>
        <w:t>26. Regarding small retail, the Authority specified that this category "is characterized by a clientele primarily composed of people living less than 500 meters from the point of sale, walking to the sales location and making small purchases"13. Thus, the effects of concentration operations concerning points of sale with a surface area of less than 400 m² have been examined in catchment areas of 500 meters around the point of sale in question.</w:t>
      </w:r>
    </w:p>
    <w:p>
      <w:r>
        <w:t>27. In this case, the target bakeries have a sales area of less than 400 m².</w:t>
      </w:r>
    </w:p>
    <w:p>
      <w:r>
        <w:t>28. Consequently, the competitive analysis of the retail distribution markets for BVP products will be conducted in catchment areas of 500 meters around each of the target points of sale.</w:t>
      </w:r>
    </w:p>
    <w:p>
      <w:r>
        <w:t>III. Competitive Analysis</w:t>
      </w:r>
    </w:p>
    <w:p>
      <w:r>
        <w:t>A. HORIZONTAL EFFECTS</w:t>
      </w:r>
    </w:p>
    <w:p>
      <w:r>
        <w:t>29. In the downstream market of retail distribution of BVP products, the operation results in an overlap only in the area of Saint-Pierre-de-La-Réunion. In this area, the market share of the new entity will rise to 15%, and the new entity will face competition from numerous points of sale, both industrial and artisanal.</w:t>
      </w:r>
    </w:p>
    <w:p>
      <w:r>
        <w:t>30. Consequently, given the limited market share of the new entity and the presence of numerous competing points of sale, any risk of harm to competition through a horizontal effect in the downstream market of retail distribution of BVP products can be ruled out.</w:t>
      </w:r>
    </w:p>
    <w:p>
      <w:r>
        <w:t>13 See the decisions of the Authority No. 14-DCC-173 regarding the exclusive control of Dia France SAS by Carrefour France SAS and No. 17-DCC-231 regarding the joint control by the Zouari family alongside the Casino group of 125 food-dominant retail stores.</w:t>
      </w:r>
    </w:p>
    <w:p>
      <w:r>
        <w:t>B. VERTICAL EFFECTS</w:t>
      </w:r>
    </w:p>
    <w:p>
      <w:r>
        <w:t>31. A vertical concentration can restrict competition by making it more difficult to access the markets on which the new entity will be active, potentially driving out competitors or penalizing them by increasing their costs.</w:t>
      </w:r>
    </w:p>
    <w:p>
      <w:r>
        <w:t>32. The Yong Wai Man group sells its products to industrial bakeries or to points of sale offering BVP products but not manufacturing them. In contrast, artisanal bakeries do not source from the Yong Wai Man group or its competitors, as they have their own production workshops. Thus, the target bakeries did not source from the Yong Wai Man group prior to the operation, and this situation will remain unchanged after the operation.</w:t>
      </w:r>
    </w:p>
    <w:p>
      <w:r>
        <w:t>33. The Yong Wai Man group is a major producer of BVP products in La Réunion. Indeed, although the notifying parties indicated that they were unable to estimate the market shares of this group, it appears from the data they provided that the Yong Wai Man group generates revenue 10 times higher than that of its main competitor, the BBOI group, and that there are few operators active in the upstream market for BVP products in La Réunion.</w:t>
      </w:r>
    </w:p>
    <w:p>
      <w:r>
        <w:t>34. The operation will allow the acquiring groups to have a strong upstream position in La Réunion as suppliers of BVP products and will strengthen their presence in the downstream markets of retail distribution of BVP. In these downstream markets, their points of sale will compete with third-party points of sale, some of which source from the Yong Wai Man group. The new entity could, therefore, be incentivized to increase the wholesale prices of its BVP products in order to raise the costs of its downstream customers. These customers, who will be direct competitors of the target points of sale in certain areas, could be forced to raise their retail prices. In this scenario, the acquirers could ultimately benefit from a customer shift towards their new points of sale.</w:t>
      </w:r>
    </w:p>
    <w:p>
      <w:r>
        <w:t>35. The new entity could be incentivized to implement such a strategy only in areas where it would be certain to benefit from a customer shift, that is to say, in areas where the target point of sale faces competition solely from one or more third-party points of sale sourcing from the Yong Wai Man group for BVP products.</w:t>
      </w:r>
    </w:p>
    <w:p>
      <w:r>
        <w:t>36. In this case, across the twelve catchment areas defined around the target points of sale, such a risk can be ruled out in eleven areas. Indeed, in these eleven areas, in addition to the target points of sale, there is at least one competing point of sale for BVP products, whether artisanal or industrial, that does not source from the Yong Wai Man group.</w:t>
      </w:r>
    </w:p>
    <w:p>
      <w:r>
        <w:t>37. In contrast, in the Trois Bassins area, the only competitor of the target point of sale of the new entity is a point of sale that sources from the Yong Wai Man group and whose demand for BVP products could hardly be satisfied by another supplier. In this area, the new entity could be incentivized to increase the wholesale prices of its BVP products in order to make the competing point of sale less competitive and thus benefit from a customer shift towards the target point of sale "Boulangerie de l’Église."</w:t>
      </w:r>
    </w:p>
    <w:p>
      <w:r>
        <w:t>38. Therefore, the operation is likely to harm competition through vertical effects in this area.</w:t>
      </w:r>
    </w:p>
    <w:p>
      <w:r>
        <w:t>39. On February 5, 2020, however, the notifying party submitted commitments, presented in Section IV, to address this competitive risk.</w:t>
      </w:r>
    </w:p>
    <w:p>
      <w:r>
        <w:rPr>
          <w:b/>
        </w:rPr>
        <w:t>[Pages 7–9]</w:t>
      </w:r>
    </w:p>
    <w:p>
      <w:r>
        <w:t>IV. The Proposed Commitments</w:t>
      </w:r>
    </w:p>
    <w:p>
      <w:r>
        <w:t>40. In order to eliminate any risk of harm to competition that may result from this operation through a degradation of access to BVP products in the catchment area of the retail outlet in Les Trois Bassins (974), the notifying party submitted a proposal for commitments on February 5, 2020. The text of these commitments, attached as an annex, forms an integral part of this decision.</w:t>
      </w:r>
    </w:p>
    <w:p>
      <w:r>
        <w:t>THE PROPOSED COMMITMENTS</w:t>
      </w:r>
    </w:p>
    <w:p>
      <w:r>
        <w:t>41. The proposed commitments concern the divestiture of the retail outlet "Boulangerie de l’Église," located at 15 rue François Mahy, 97426 Les Trois Bassins. The Kin Siong, Lam Tow, and Yong Wai Man groups commit to divesting the retail outlet to a competitor active in the retail distribution of BVP products within a period of […] months from the notification of this decision.</w:t>
      </w:r>
    </w:p>
    <w:p>
      <w:r>
        <w:t>42. For a duration of […] years, the Kin Siong, Lam Tow, and Yong Wai Man groups shall not reacquire the divested store, nor acquire any direct or indirect influence over it.</w:t>
      </w:r>
    </w:p>
    <w:p>
      <w:r>
        <w:t>43. Finally, the Kin Siong, Lam Tow, and Yong Wai Man groups commit to appointing an independent representative whose mission will be to ensure the proper execution by the acquirers of all their obligations, particularly regarding the conditions of the divestiture process and the maintenance of the viability of the divested assets.</w:t>
      </w:r>
    </w:p>
    <w:p>
      <w:r>
        <w:t>A. ASSESSMENT OF THE PROPOSED COMMITMENTS</w:t>
      </w:r>
    </w:p>
    <w:p>
      <w:r>
        <w:t>1. ON THE OBJECTIVE OF THE COMMITMENTS</w:t>
      </w:r>
    </w:p>
    <w:p>
      <w:r>
        <w:t>44. The Competition Authority ensures that the commitments meet several criteria:</w:t>
        <w:br/>
        <w:t>- they must be effective, meaning they effectively remedy the identified harms to competition;</w:t>
        <w:br/>
        <w:t>- their implementation must not raise doubts, which implies that they are drafted precisely, without ambiguity, and that the operational modalities for their realization are sufficiently detailed;</w:t>
        <w:br/>
        <w:t>- their implementation must be swift, as competition is not preserved until they are realized;</w:t>
        <w:br/>
        <w:t>- they must be controllable14.</w:t>
      </w:r>
    </w:p>
    <w:p>
      <w:r>
        <w:t>45. The commitment proposed by the notifying parties must eliminate any risk that the new entity will increase the prices of its BVP products in order to benefit downstream from a customer shift in the Les Trois Bassins area.</w:t>
      </w:r>
    </w:p>
    <w:p>
      <w:r>
        <w:t>14 The aforementioned guidelines, paragraph 573.</w:t>
      </w:r>
    </w:p>
    <w:p>
      <w:r>
        <w:t>46. Furthermore, the effectiveness of the remedies depends on the divestiture of the concerned retail outlet to an appropriate acquirer. To restore sufficient competitive conditions, the acquirer must be capable of effectively competing with the new entity in the relevant market.</w:t>
      </w:r>
    </w:p>
    <w:p>
      <w:r>
        <w:t>47. This implies that the acquirer must present all guarantees of viability and independence, both legal and commercial, from the Kin Siong, Lam Tow, and Yong Wai Man groups. The potential acquirer must therefore be an independent player in the retail distribution of BVP products, free from any capital ties, direct or indirect, with the Kin Siong, Lam Tow, and Yong Wai Man groups, across the entire value chain, from supply to retail sale, and capable of ensuring the sustainable operation of the divested assets.</w:t>
      </w:r>
    </w:p>
    <w:p>
      <w:r>
        <w:t>48. Finally, the acquisition of the retail outlet must not be likely to create new harms to competition in the relevant area, by creating or strengthening the position of an already well-established competitor.</w:t>
      </w:r>
    </w:p>
    <w:p>
      <w:r>
        <w:t>2. ON THE ADEQUACY OF THE PROPOSED MEASURES</w:t>
      </w:r>
    </w:p>
    <w:p>
      <w:r>
        <w:t>49. The commitment proposed by the notifying party consists of the divestiture of the retail outlet that could have benefited from a customer shift.</w:t>
      </w:r>
    </w:p>
    <w:p>
      <w:r>
        <w:t>50. In principle, such a commitment is adequate in that it severs the concerned retail outlet from any ties to the new entity, thereby removing the latter's incentives to increase the purchase prices of BVP products from the competing outlet in the area.</w:t>
      </w:r>
    </w:p>
    <w:p>
      <w:r>
        <w:t>51. Furthermore, the acquirer must be legally and commercially independent from the notifying parties and have no capital ties, direct or indirect, with them. It must possess the financial resources and expertise to preserve and develop the viability of the divested activities to stimulate competition in the relevant markets.</w:t>
      </w:r>
    </w:p>
    <w:p>
      <w:r>
        <w:t>52. The notifying parties commit to ensuring that the concerned retail outlet is divested within […] months, which constitutes a sufficiently rapid timeframe to restore adequate competition in the relevant market.</w:t>
      </w:r>
    </w:p>
    <w:p>
      <w:r>
        <w:t>53. Thus, in the Les Trois Bassins area, the divestiture commitment will eliminate any risk of harm to competition through a vertical effect.</w:t>
      </w:r>
    </w:p>
    <w:p>
      <w:r>
        <w:t>54. Regarding the implementation of the commitments, the Kin Siong, Lam Tow, and Yong Wai Man groups will propose to the Competition Authority the appointment of a representative, referred to as the "control representative," whose mission will be to ensure compliance with the obligations arising from this decision.</w:t>
      </w:r>
    </w:p>
    <w:p>
      <w:r>
        <w:t>55. This representative will notably ensure the preservation of the economic viability, market value, and competitiveness of the retail outlet to be divested. They will also examine and evaluate potential acquirers as well as the progress of the commitments.</w:t>
      </w:r>
    </w:p>
    <w:p>
      <w:r>
        <w:t>56. Consequently, the Competition Authority considers that the commitments proposed by the notifying parties are sufficient to eliminate the harms to competition resulting from the operation.</w:t>
      </w:r>
    </w:p>
    <w:p>
      <w:r>
        <w:t>DECIDES</w:t>
      </w:r>
    </w:p>
    <w:p>
      <w:r>
        <w:t>Single Article: The operation notified under number 19-214 is authorized subject to the commitments described in paragraphs 40 to 55 above and annexed to this decision.</w:t>
      </w:r>
    </w:p>
    <w:p>
      <w:r>
        <w:t>The Vice-President,</w:t>
        <w:br/>
        <w:t>Irène Luc</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