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https://www.autoritedelaconcurrence.fr/fr/decision-de-controle-des-concentrations/relative-la-prise-de-controle-conjoint-de-la-societe-133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19-DCC-70 of April 16, 2019  </w:t>
        <w:br/>
        <w:t xml:space="preserve">regarding the joint control acquisition of the company Caposlo by the  </w:t>
        <w:br/>
        <w:t xml:space="preserve">companies ITM Entreprises and Doumax  </w:t>
        <w:br/>
        <w:t xml:space="preserve">The Competition Authority,  </w:t>
        <w:br/>
        <w:t xml:space="preserve">Having regard to the complete notification file submitted to the mergers department on March 14, 2019,  </w:t>
        <w:br/>
        <w:t xml:space="preserve">concerning the joint control acquisition of the company Caposlo by the companies ITM Entreprises and  </w:t>
        <w:br/>
        <w:t xml:space="preserve">Doumax, and formalized by a share transfer agreement dated February 15,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joint control acquisition by the companies Doumax and ITM  </w:t>
        <w:br/>
        <w:t xml:space="preserve">Entreprises of the company Caposlo, active in the automobile distribution sector and located  </w:t>
        <w:br/>
        <w:t xml:space="preserve">in the city of Agde (34). It constitutes a concentration operation within the meaning of Article  </w:t>
        <w:br/>
        <w:t xml:space="preserve">L. 430-1 of the Commercial Code. Given the turnover achieved by the companies involved, the operation  </w:t>
        <w:br/>
        <w:t xml:space="preserve">does not fall under the jurisdiction of the European Union. On the other hand,  </w:t>
        <w:br/>
        <w:t xml:space="preserve">the retail trade control thresholds mentioned in point II of Article L. 430-2 of the Commercial Code  </w:t>
        <w:br/>
        <w:t xml:space="preserve">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19-083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