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https://www.autoritedelaconcurrence.fr/fr/decision-de-controle-des-concentrations/relative-la-prise-de-controle-conjoint-de-la-societe-136</w:t>
      </w:r>
    </w:p>
    <w:p>
      <w:r>
        <w:t>Pages translated : 2</w:t>
      </w:r>
    </w:p>
    <w:p/>
    <w:p>
      <w:r>
        <w:rPr>
          <w:b/>
        </w:rPr>
        <w:t>[Pages 1–2]</w:t>
      </w:r>
    </w:p>
    <w:p>
      <w:r>
        <w:t xml:space="preserve">FRENCH REPUBLIC  </w:t>
        <w:br/>
        <w:t xml:space="preserve">Decision No. 20-DCC-86 of July 21, 2020  </w:t>
        <w:br/>
        <w:t xml:space="preserve">regarding the joint control acquisition of the company Vicquoise d’Alimentation et de Distribution by the company Centre Distributeur Alimentaire du Sud-Ouest alongside ACDLec  </w:t>
        <w:br/>
        <w:t xml:space="preserve">The Competition Authority,  </w:t>
        <w:br/>
        <w:t xml:space="preserve">Having regard to the complete notification file sent to the mergers department on June 24, 2020, concerning the joint control acquisition of the company Vicquoise d’Alimentation et de Distribution by the company Centre Distributeur Alimentaire du Sud-Ouest alongside ACDLec, and formalized by a memorandum of understanding dated May 29, 2020;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the company Centre Distributeur Alimentaire du Sud-Ouest (“CDASO”) alongside the Association des Centres Distributeurs E. Leclerc (“ACDLec”) of the company Vicquoise d’Alimentation et de Distribution (“SVAD”), which operates a predominantly food retail point of sale of supermarket type under the E. Leclerc brand, with a surface area of 2,000 m², located in Vic-en-Bigorre (65).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20-108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