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https://www.autoritedelaconcurrence.fr/fr/decision-de-controle-des-concentrations/relative-la-prise-de-controle-conjoint-de-la-societe-137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20-DCC-95 of July 23, 2020  </w:t>
        <w:br/>
        <w:t xml:space="preserve">regarding the joint control acquisition of the company Sodicat by the  </w:t>
        <w:br/>
        <w:t xml:space="preserve">company Chrisab and the Association of E. Leclerc Distributor Centers  </w:t>
        <w:br/>
        <w:t xml:space="preserve">The Competition Authority,  </w:t>
        <w:br/>
        <w:t xml:space="preserve">Having regard to the complete notification file sent to the mergers department on June 25, 2020,  </w:t>
        <w:br/>
        <w:t xml:space="preserve">concerning the joint control acquisition of the company Sodicat by the company Chrisab and the  </w:t>
        <w:br/>
        <w:t xml:space="preserve">Association of E. Leclerc Distributor Centers, formalized by a transfer contract dated  </w:t>
        <w:br/>
        <w:t xml:space="preserve">January 31, 2020;  </w:t>
        <w:br/>
        <w:t xml:space="preserve">Having regard to the elements provided by the notifying party during the investigation;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company Chrisab and  </w:t>
        <w:br/>
        <w:t xml:space="preserve">the Association of E. Leclerc Distributor Centers of the company Sodicat, which operates a  </w:t>
        <w:br/>
        <w:t xml:space="preserve">retail business primarily focused on food of the hypermarket type with an area of  </w:t>
        <w:br/>
        <w:t xml:space="preserve">6,456 m2 under the E. Leclerc brand in Perpignan (66). It constitutes a concentration operation  </w:t>
        <w:br/>
        <w:t xml:space="preserve">within the meaning of Article L. 430-1 of the Commercial Code. Given the turnover achieved by the  </w:t>
        <w:br/>
        <w:t xml:space="preserve">concerned companies, the operation does not fall under the jurisdiction of the European Union.  </w:t>
        <w:br/>
        <w:t xml:space="preserve">On the other hand, the retail control thresholds mentioned in point II of Article L. 430-2 of the  </w:t>
        <w:br/>
        <w:t xml:space="preserve">Commercial Code are exceeded. This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20-111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