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https://www.autoritedelaconcurrence.fr/fr/decision-de-controle-des-concentrations/relative-la-prise-de-controle-conjoint-de-la-societe-140</w:t>
      </w:r>
    </w:p>
    <w:p>
      <w:r>
        <w:t>Pages translated : 2</w:t>
      </w:r>
    </w:p>
    <w:p/>
    <w:p>
      <w:r>
        <w:rPr>
          <w:b/>
        </w:rPr>
        <w:t>[Pages 1–2]</w:t>
      </w:r>
    </w:p>
    <w:p>
      <w:r>
        <w:t xml:space="preserve">FRENCH REPUBLIC  </w:t>
        <w:br/>
        <w:t xml:space="preserve">Decision No. 20-DCC-108 of August 25, 2020  </w:t>
        <w:br/>
        <w:t xml:space="preserve">regarding the joint control acquisition of the company Templeuve Distribution by the company Pevele Distribution and the Association of E. Leclerc Distributor Centers  </w:t>
        <w:br/>
        <w:t xml:space="preserve">The Competition Authority,  </w:t>
        <w:br/>
        <w:t xml:space="preserve">Having regard to the complete notification file sent to the mergers department on July 27, 2020, concerning the joint control acquisition of the company Templeuve Distribution by the company Pevele Distribution and the Association of E. Leclerc Distributor Centers, formalized by a share transfer agreement dated October 21, 2019;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joint control acquisition by the company Pevele Distribution and the Association of E. Leclerc Distributor Centers of the company Templeuve Distribution, which operates a retail business predominantly in food of the hypermarket type with an area of 5,250 m² under the E. Leclerc brand in Templeuve-en-Pévèle (59).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20-133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