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https://www.autoritedelaconcurrence.fr/fr/decision-de-controle-des-concentrations/relative-la-prise-de-controle-conjoint-de-la-societe-144</w:t>
      </w:r>
    </w:p>
    <w:p>
      <w:r>
        <w:t>Pages translated : 2</w:t>
      </w:r>
    </w:p>
    <w:p/>
    <w:p>
      <w:r>
        <w:rPr>
          <w:b/>
        </w:rPr>
        <w:t>[Pages 1–2]</w:t>
      </w:r>
    </w:p>
    <w:p>
      <w:r>
        <w:t xml:space="preserve">FRENCH REPUBLIC  </w:t>
        <w:br/>
        <w:t xml:space="preserve">Decision No. 20-DCC-129 of September 16, 2020  </w:t>
        <w:br/>
        <w:t>regarding the joint control acquisition of the company Wattrelos Distribution by the company Filissiti and the Association of E. Leclerc Distributor Centers</w:t>
      </w:r>
    </w:p>
    <w:p>
      <w:r>
        <w:t>The Competition Authority,</w:t>
      </w:r>
    </w:p>
    <w:p>
      <w:r>
        <w:t>Having regard to the complete notification file submitted to the mergers department on August 26, 2020, concerning the joint control acquisition of the company Wattrelos Distribution by the company Filissiti and the Association of E. Leclerc Distributor Centers, formalized by a transfer contract dated October 30, 2019;</w:t>
      </w:r>
    </w:p>
    <w:p>
      <w:r>
        <w:t>Having regard to Book IV of the Commercial Code relating to the freedom of prices and competition, and in particular its Articles L. 430-1 to L. 430-7;</w:t>
      </w:r>
    </w:p>
    <w:p>
      <w:r>
        <w:t>Having regard to the elements transmitted by the notifying party during the investigation;</w:t>
      </w:r>
    </w:p>
    <w:p>
      <w:r>
        <w:t xml:space="preserve">Adopts the following decision:  </w:t>
        <w:br/>
        <w:t xml:space="preserve">1. The notified operation consists of the joint control acquisition of the company Wattrelos Distribution, which operates a food retail point of sale of the hypermarket type in Wattrelos (59), by the company Filissiti and the Association of E. Leclerc Distributor Centers. It constitutes a concentration operation within the meaning of Article L. 430-1 of the Commercial Code. Given the turnover achieved by the companies concerned, the operation does not fall under the jurisdiction of the European Union. On the other hand, the control thresholds related to retail trade mentioned in point II of Article L. 430-2 of the Commercial Code are exceeded. This operation is therefore subject to the provisions of Articles L. 430-3 and following of the Commercial Code relating to economic concentration.  </w:t>
        <w:br/>
        <w:t>2. In light of the elements of the file, the operation is not likely to harm competition in the relevant markets.</w:t>
      </w:r>
    </w:p>
    <w:p>
      <w:r>
        <w:t xml:space="preserve">DECIDES  </w:t>
        <w:br/>
        <w:t xml:space="preserve">Sole Article: The operation notified under number 20-168 is authorized.  </w:t>
        <w:br/>
        <w:t xml:space="preserve">The President,  </w:t>
        <w:br/>
        <w:t xml:space="preserve">Isabelle de Silva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