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https://www.autoritedelaconcurrence.fr/fr/decision-de-controle-des-concentrations/relative-la-prise-de-controle-conjoint-de-la-societe-145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20-DCC-133 of September 28, 2020  </w:t>
        <w:br/>
        <w:t xml:space="preserve">regarding the joint control acquisition of the company Sobalaric by the  </w:t>
        <w:br/>
        <w:t xml:space="preserve">company ITM Entreprises and Mr. Julien Chastenet  </w:t>
        <w:br/>
        <w:t xml:space="preserve">The Competition Authority,  </w:t>
        <w:br/>
        <w:t xml:space="preserve">Having regard to the complete notification file submitted to the mergers department on September 2, 2020,  </w:t>
        <w:br/>
        <w:t xml:space="preserve">concerning the joint control acquisition of the company Sobalaric by Mr. Chastenet and the company  </w:t>
        <w:br/>
        <w:t xml:space="preserve">ITM Entreprises, formalized by a donation commitment dated July 28,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provided by the notifying party during the investigation;  </w:t>
        <w:br/>
        <w:t xml:space="preserve">Adopts the following decision:  </w:t>
        <w:br/>
        <w:t xml:space="preserve">1. The notified operation consists of the joint control acquisition by Mr. Julien Chastenet and  </w:t>
        <w:br/>
        <w:t xml:space="preserve">the company ITM Entreprises of the company Sobalaric, which operates a food-dominant retail outlet,  </w:t>
        <w:br/>
        <w:t xml:space="preserve">under the Intermarché brand, with a surface area of 2,500 m² located in Saint-Paul-lès-Dax (40)1. It constitutes a concentration operation within the meaning of Article L. 430-1  </w:t>
        <w:br/>
        <w:t xml:space="preserve">of the Commercial Code. Given the turnover generated by the companies involved, the operation does not fall under the jurisdiction of the European Union. However,  </w:t>
        <w:br/>
        <w:t xml:space="preserve">the retail control thresholds mentioned in point II of Article L. 430-2 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 xml:space="preserve">in the relevant markets.  </w:t>
        <w:br/>
        <w:t xml:space="preserve">1 This retail outlet will be expanded following its acquisition by Mr. Julien Chastenet, increasing its surface area to 3,500 m². The competitive analysis  </w:t>
        <w:br/>
        <w:t>was conducted taking into account this new surface area.</w:t>
      </w:r>
    </w:p>
    <w:p>
      <w:r>
        <w:t xml:space="preserve">DECIDES  </w:t>
        <w:br/>
        <w:t xml:space="preserve">Single Article: The operation notified under number 20-175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